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24" w:rsidRDefault="00092424" w:rsidP="00F47F52">
      <w:pPr>
        <w:jc w:val="both"/>
        <w:rPr>
          <w:rFonts w:ascii="Segoe UI" w:hAnsi="Segoe UI" w:cs="Segoe UI"/>
          <w:b/>
          <w:bCs/>
          <w:color w:val="FF0000"/>
          <w:sz w:val="28"/>
          <w:szCs w:val="28"/>
          <w:lang w:bidi="ar-JO"/>
        </w:rPr>
      </w:pPr>
      <w:bookmarkStart w:id="0" w:name="_Hlk89326890"/>
      <w:bookmarkStart w:id="1" w:name="_GoBack"/>
      <w:bookmarkEnd w:id="1"/>
    </w:p>
    <w:p w:rsidR="00EC0CDD" w:rsidRDefault="00EC0CDD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lang w:bidi="ar-JO"/>
        </w:rPr>
      </w:pPr>
    </w:p>
    <w:p w:rsidR="00EC0CDD" w:rsidRDefault="00EC0CDD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lang w:bidi="ar-JO"/>
        </w:rPr>
      </w:pPr>
    </w:p>
    <w:p w:rsidR="005E3F48" w:rsidRPr="00222ACB" w:rsidRDefault="005E3F48" w:rsidP="00222ACB">
      <w:pPr>
        <w:jc w:val="center"/>
        <w:rPr>
          <w:rFonts w:ascii="Segoe UI" w:hAnsi="Segoe UI" w:cs="Segoe UI"/>
          <w:b/>
          <w:bCs/>
          <w:color w:val="FF0000"/>
          <w:sz w:val="28"/>
          <w:szCs w:val="28"/>
          <w:rtl/>
          <w:lang w:bidi="ar-JO"/>
        </w:rPr>
      </w:pPr>
      <w:r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هيئة تن</w:t>
      </w:r>
      <w:r w:rsidR="006533B3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ظ</w:t>
      </w:r>
      <w:r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يم </w:t>
      </w:r>
      <w:r w:rsidR="006533B3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قطاع </w:t>
      </w:r>
      <w:r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الاتصالات تنشر تقرير</w:t>
      </w:r>
      <w:r w:rsidR="00092424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ها ال</w:t>
      </w:r>
      <w:r w:rsidR="008F5607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إ</w:t>
      </w:r>
      <w:r w:rsidR="00092424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حصائي</w:t>
      </w:r>
      <w:r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 حول</w:t>
      </w:r>
    </w:p>
    <w:p w:rsidR="006F3C62" w:rsidRPr="00222ACB" w:rsidRDefault="00943F9A" w:rsidP="00222ACB">
      <w:pPr>
        <w:jc w:val="center"/>
        <w:rPr>
          <w:rFonts w:ascii="Segoe UI" w:hAnsi="Segoe UI" w:cs="Segoe UI"/>
          <w:b/>
          <w:bCs/>
          <w:color w:val="FF0000"/>
          <w:sz w:val="28"/>
          <w:szCs w:val="28"/>
          <w:rtl/>
          <w:lang w:bidi="ar-JO"/>
        </w:rPr>
      </w:pPr>
      <w:r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مؤشرات قطاع الاتصالات</w:t>
      </w:r>
      <w:r w:rsidR="00DE1942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8F6782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ل</w:t>
      </w:r>
      <w:r w:rsidR="00144DA8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لربع </w:t>
      </w:r>
      <w:r w:rsidR="00E765B1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الثاني</w:t>
      </w:r>
      <w:r w:rsidR="004C0DBE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144DA8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من </w:t>
      </w:r>
      <w:r w:rsidR="008F6782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 xml:space="preserve">العام </w:t>
      </w:r>
      <w:r w:rsidR="003A6E19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202</w:t>
      </w:r>
      <w:r w:rsidR="00A679C1" w:rsidRPr="00222ACB">
        <w:rPr>
          <w:rFonts w:ascii="Segoe UI" w:hAnsi="Segoe UI" w:cs="Segoe UI" w:hint="cs"/>
          <w:b/>
          <w:bCs/>
          <w:color w:val="FF0000"/>
          <w:sz w:val="28"/>
          <w:szCs w:val="28"/>
          <w:rtl/>
          <w:lang w:bidi="ar-JO"/>
        </w:rPr>
        <w:t>4</w:t>
      </w:r>
    </w:p>
    <w:p w:rsidR="00EC0CDD" w:rsidRDefault="00EC0CDD" w:rsidP="00F47F52">
      <w:pPr>
        <w:jc w:val="both"/>
        <w:rPr>
          <w:rFonts w:ascii="Segoe UI" w:hAnsi="Segoe UI" w:cs="Segoe UI"/>
          <w:b/>
          <w:bCs/>
          <w:color w:val="0070C0"/>
          <w:sz w:val="26"/>
          <w:szCs w:val="26"/>
          <w:lang w:bidi="ar-JO"/>
        </w:rPr>
      </w:pPr>
    </w:p>
    <w:p w:rsidR="00A1330D" w:rsidRDefault="005E3F48" w:rsidP="00222ACB">
      <w:pPr>
        <w:jc w:val="center"/>
        <w:rPr>
          <w:rFonts w:ascii="Segoe UI" w:hAnsi="Segoe UI" w:cs="Segoe UI"/>
          <w:b/>
          <w:bCs/>
          <w:color w:val="0070C0"/>
          <w:sz w:val="26"/>
          <w:szCs w:val="26"/>
          <w:rtl/>
          <w:lang w:bidi="ar-JO"/>
        </w:rPr>
      </w:pPr>
      <w:r w:rsidRPr="00EE16FE">
        <w:rPr>
          <w:rFonts w:ascii="Segoe UI" w:hAnsi="Segoe UI" w:cs="Segoe UI" w:hint="cs"/>
          <w:b/>
          <w:bCs/>
          <w:color w:val="0070C0"/>
          <w:sz w:val="26"/>
          <w:szCs w:val="26"/>
          <w:rtl/>
          <w:lang w:bidi="ar-JO"/>
        </w:rPr>
        <w:t>التق</w:t>
      </w:r>
      <w:r w:rsidR="00EE7487">
        <w:rPr>
          <w:rFonts w:ascii="Segoe UI" w:hAnsi="Segoe UI" w:cs="Segoe UI" w:hint="cs"/>
          <w:b/>
          <w:bCs/>
          <w:color w:val="0070C0"/>
          <w:sz w:val="26"/>
          <w:szCs w:val="26"/>
          <w:rtl/>
          <w:lang w:bidi="ar-JO"/>
        </w:rPr>
        <w:t xml:space="preserve">رير يشير </w:t>
      </w:r>
      <w:r w:rsidR="00331A38">
        <w:rPr>
          <w:rFonts w:ascii="Segoe UI" w:hAnsi="Segoe UI" w:cs="Segoe UI" w:hint="cs"/>
          <w:b/>
          <w:bCs/>
          <w:color w:val="0070C0"/>
          <w:sz w:val="26"/>
          <w:szCs w:val="26"/>
          <w:rtl/>
          <w:lang w:bidi="ar-JO"/>
        </w:rPr>
        <w:t xml:space="preserve">إلى </w:t>
      </w:r>
      <w:r w:rsidR="005E4756">
        <w:rPr>
          <w:rFonts w:ascii="Segoe UI" w:hAnsi="Segoe UI" w:cs="Segoe UI" w:hint="cs"/>
          <w:b/>
          <w:bCs/>
          <w:color w:val="0070C0"/>
          <w:sz w:val="26"/>
          <w:szCs w:val="26"/>
          <w:rtl/>
          <w:lang w:bidi="ar-JO"/>
        </w:rPr>
        <w:t xml:space="preserve">نمو </w:t>
      </w:r>
      <w:r w:rsidR="00EE7487">
        <w:rPr>
          <w:rFonts w:ascii="Segoe UI" w:hAnsi="Segoe UI" w:cs="Segoe UI" w:hint="cs"/>
          <w:b/>
          <w:bCs/>
          <w:color w:val="0070C0"/>
          <w:sz w:val="26"/>
          <w:szCs w:val="26"/>
          <w:rtl/>
          <w:lang w:bidi="ar-JO"/>
        </w:rPr>
        <w:t>اشتراكات الجيل الخامس</w:t>
      </w:r>
      <w:r w:rsidR="005E4756">
        <w:rPr>
          <w:rFonts w:ascii="Segoe UI" w:hAnsi="Segoe UI" w:cs="Segoe UI" w:hint="cs"/>
          <w:b/>
          <w:bCs/>
          <w:color w:val="0070C0"/>
          <w:sz w:val="26"/>
          <w:szCs w:val="26"/>
          <w:rtl/>
          <w:lang w:bidi="ar-JO"/>
        </w:rPr>
        <w:t xml:space="preserve"> بنسبة</w:t>
      </w:r>
      <w:r w:rsidR="00D87D21">
        <w:rPr>
          <w:rFonts w:ascii="Segoe UI" w:hAnsi="Segoe UI" w:cs="Segoe UI" w:hint="cs"/>
          <w:b/>
          <w:bCs/>
          <w:color w:val="0070C0"/>
          <w:sz w:val="26"/>
          <w:szCs w:val="26"/>
          <w:rtl/>
          <w:lang w:bidi="ar-JO"/>
        </w:rPr>
        <w:t xml:space="preserve"> 64%</w:t>
      </w:r>
    </w:p>
    <w:p w:rsidR="00331A38" w:rsidRDefault="00331A38" w:rsidP="00F47F52">
      <w:pPr>
        <w:jc w:val="both"/>
        <w:rPr>
          <w:rFonts w:ascii="Segoe UI" w:hAnsi="Segoe UI" w:cs="Segoe UI"/>
          <w:b/>
          <w:bCs/>
          <w:color w:val="0070C0"/>
          <w:sz w:val="26"/>
          <w:szCs w:val="26"/>
          <w:rtl/>
          <w:lang w:bidi="ar-JO"/>
        </w:rPr>
      </w:pPr>
    </w:p>
    <w:p w:rsidR="005E3F48" w:rsidRDefault="005E3F48" w:rsidP="00F47F52">
      <w:pPr>
        <w:jc w:val="both"/>
        <w:rPr>
          <w:rFonts w:ascii="Segoe UI" w:hAnsi="Segoe UI" w:cs="Segoe UI"/>
          <w:b/>
          <w:bCs/>
          <w:color w:val="0070C0"/>
          <w:sz w:val="16"/>
          <w:szCs w:val="16"/>
          <w:rtl/>
          <w:lang w:bidi="ar-JO"/>
        </w:rPr>
      </w:pPr>
    </w:p>
    <w:p w:rsidR="006A3F3E" w:rsidRDefault="006A3F3E" w:rsidP="00F47F52">
      <w:pPr>
        <w:jc w:val="both"/>
        <w:rPr>
          <w:rFonts w:ascii="Segoe UI" w:hAnsi="Segoe UI" w:cs="Segoe UI"/>
          <w:b/>
          <w:bCs/>
          <w:sz w:val="26"/>
          <w:szCs w:val="26"/>
          <w:lang w:bidi="ar-JO"/>
        </w:rPr>
      </w:pPr>
    </w:p>
    <w:p w:rsidR="00D22245" w:rsidRDefault="00D07547" w:rsidP="00F47F52">
      <w:pPr>
        <w:jc w:val="both"/>
        <w:rPr>
          <w:rFonts w:ascii="Segoe UI" w:hAnsi="Segoe UI" w:cs="Segoe UI"/>
          <w:b/>
          <w:bCs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b/>
          <w:bCs/>
          <w:sz w:val="26"/>
          <w:szCs w:val="26"/>
          <w:rtl/>
          <w:lang w:bidi="ar-JO"/>
        </w:rPr>
        <w:t>عمان:</w:t>
      </w:r>
      <w:r>
        <w:rPr>
          <w:rFonts w:ascii="Segoe UI" w:hAnsi="Segoe UI" w:cs="Segoe UI"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ascii="Segoe UI" w:hAnsi="Segoe UI" w:cs="Segoe UI"/>
          <w:b/>
          <w:bCs/>
          <w:sz w:val="26"/>
          <w:szCs w:val="26"/>
          <w:lang w:bidi="ar-JO"/>
        </w:rPr>
        <w:t xml:space="preserve"> </w:t>
      </w:r>
      <w:r w:rsidR="00337DDC">
        <w:rPr>
          <w:rFonts w:ascii="Segoe UI" w:hAnsi="Segoe UI" w:cs="Segoe UI" w:hint="cs"/>
          <w:b/>
          <w:bCs/>
          <w:sz w:val="26"/>
          <w:szCs w:val="26"/>
          <w:rtl/>
          <w:lang w:bidi="ar-JO"/>
        </w:rPr>
        <w:t>تشرين أول</w:t>
      </w:r>
      <w:r w:rsidR="00A679C1">
        <w:rPr>
          <w:rFonts w:ascii="Segoe UI" w:hAnsi="Segoe UI" w:cs="Segoe UI" w:hint="cs"/>
          <w:b/>
          <w:bCs/>
          <w:sz w:val="26"/>
          <w:szCs w:val="26"/>
          <w:rtl/>
          <w:lang w:bidi="ar-JO"/>
        </w:rPr>
        <w:t>2024</w:t>
      </w:r>
    </w:p>
    <w:p w:rsidR="00EE7487" w:rsidRPr="002E6364" w:rsidRDefault="00EE7487" w:rsidP="00F47F52">
      <w:pPr>
        <w:jc w:val="both"/>
        <w:rPr>
          <w:rFonts w:ascii="Segoe UI" w:hAnsi="Segoe UI" w:cs="Segoe UI"/>
          <w:b/>
          <w:bCs/>
          <w:sz w:val="26"/>
          <w:szCs w:val="26"/>
          <w:rtl/>
          <w:lang w:bidi="ar-JO"/>
        </w:rPr>
      </w:pPr>
    </w:p>
    <w:p w:rsidR="003E0D6F" w:rsidRDefault="003E0D6F" w:rsidP="00F47F52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نشرت هيئة </w:t>
      </w:r>
      <w:r w:rsidR="0052780F" w:rsidRPr="002E6364">
        <w:rPr>
          <w:rFonts w:ascii="Segoe UI" w:hAnsi="Segoe UI" w:cs="Segoe UI"/>
          <w:sz w:val="26"/>
          <w:szCs w:val="26"/>
          <w:rtl/>
          <w:lang w:bidi="ar-JO"/>
        </w:rPr>
        <w:t>تنظيم قطاع الاتصالات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على موقعها ا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لإ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لكتروني تقريرها ا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لإ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حصائي</w:t>
      </w:r>
      <w:r w:rsidR="00943F9A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D25032" w:rsidRPr="002E6364">
        <w:rPr>
          <w:rFonts w:ascii="Segoe UI" w:hAnsi="Segoe UI" w:cs="Segoe UI" w:hint="cs"/>
          <w:sz w:val="26"/>
          <w:szCs w:val="26"/>
          <w:rtl/>
          <w:lang w:bidi="ar-JO"/>
        </w:rPr>
        <w:t>والذي يتناول</w:t>
      </w:r>
      <w:r w:rsidR="00943F9A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مؤشرات قطاع الاتصالات</w:t>
      </w:r>
      <w:r w:rsidR="00A47501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للربع </w:t>
      </w:r>
      <w:r w:rsidR="00E765B1">
        <w:rPr>
          <w:rFonts w:ascii="Segoe UI" w:hAnsi="Segoe UI" w:cs="Segoe UI" w:hint="cs"/>
          <w:sz w:val="26"/>
          <w:szCs w:val="26"/>
          <w:rtl/>
          <w:lang w:bidi="ar-JO"/>
        </w:rPr>
        <w:t>الثاني</w:t>
      </w:r>
      <w:r w:rsidR="00A679C1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A679C1" w:rsidRPr="002E6364">
        <w:rPr>
          <w:rFonts w:ascii="Segoe UI" w:hAnsi="Segoe UI" w:cs="Segoe UI" w:hint="cs"/>
          <w:sz w:val="26"/>
          <w:szCs w:val="26"/>
          <w:rtl/>
          <w:lang w:bidi="ar-JO"/>
        </w:rPr>
        <w:t>من</w:t>
      </w:r>
      <w:r w:rsidR="00A47501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ال</w:t>
      </w:r>
      <w:r w:rsidR="00FB6FD0" w:rsidRPr="002E6364">
        <w:rPr>
          <w:rFonts w:ascii="Segoe UI" w:hAnsi="Segoe UI" w:cs="Segoe UI" w:hint="cs"/>
          <w:sz w:val="26"/>
          <w:szCs w:val="26"/>
          <w:rtl/>
          <w:lang w:bidi="ar-JO"/>
        </w:rPr>
        <w:t>عام</w:t>
      </w:r>
      <w:r w:rsidR="00943F9A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0425DD">
        <w:rPr>
          <w:rFonts w:ascii="Segoe UI" w:hAnsi="Segoe UI" w:cs="Segoe UI" w:hint="cs"/>
          <w:sz w:val="26"/>
          <w:szCs w:val="26"/>
          <w:rtl/>
          <w:lang w:bidi="ar-JO"/>
        </w:rPr>
        <w:t>2024</w:t>
      </w:r>
      <w:r w:rsidR="000425DD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A954CC" w:rsidRPr="002E6364">
        <w:rPr>
          <w:rFonts w:ascii="Segoe UI" w:hAnsi="Segoe UI" w:cs="Segoe UI" w:hint="cs"/>
          <w:sz w:val="26"/>
          <w:szCs w:val="26"/>
          <w:rtl/>
          <w:lang w:bidi="ar-JO"/>
        </w:rPr>
        <w:t>لخدمات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الاتصالات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الصوتية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الثابتة</w:t>
      </w:r>
      <w:r w:rsidR="008725C5" w:rsidRPr="002E6364" w:rsidDel="008725C5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وخدمات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الاتصالات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المتنقلة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عريضة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النطاق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B331F7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وخدمات الخطوط </w:t>
      </w:r>
      <w:r w:rsidR="004C175B" w:rsidRPr="002E6364">
        <w:rPr>
          <w:rFonts w:ascii="Segoe UI" w:hAnsi="Segoe UI" w:cs="Segoe UI" w:hint="cs"/>
          <w:sz w:val="26"/>
          <w:szCs w:val="26"/>
          <w:rtl/>
          <w:lang w:bidi="ar-JO"/>
        </w:rPr>
        <w:t>المؤجرة</w:t>
      </w:r>
      <w:r w:rsidR="00B331F7" w:rsidRPr="002E6364">
        <w:rPr>
          <w:rFonts w:ascii="Segoe UI" w:hAnsi="Segoe UI" w:cs="Segoe UI" w:hint="cs"/>
          <w:sz w:val="26"/>
          <w:szCs w:val="26"/>
          <w:rtl/>
          <w:lang w:bidi="ar-JO"/>
        </w:rPr>
        <w:t>.</w:t>
      </w:r>
    </w:p>
    <w:p w:rsidR="00F36EA1" w:rsidRDefault="00F36EA1" w:rsidP="00F47F52">
      <w:pPr>
        <w:jc w:val="both"/>
        <w:rPr>
          <w:rFonts w:ascii="Segoe UI" w:hAnsi="Segoe UI" w:cs="Segoe UI"/>
          <w:sz w:val="26"/>
          <w:szCs w:val="26"/>
          <w:lang w:bidi="ar-JO"/>
        </w:rPr>
      </w:pPr>
    </w:p>
    <w:p w:rsidR="00477521" w:rsidRPr="00CA6D1A" w:rsidRDefault="00477521" w:rsidP="00507CB3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وتشير هذه المؤشرات لنمو اشتراكات الجيل الخامس خلال الربع </w:t>
      </w:r>
      <w:r w:rsidR="00F36EA1">
        <w:rPr>
          <w:rFonts w:ascii="Segoe UI" w:hAnsi="Segoe UI" w:cs="Segoe UI" w:hint="cs"/>
          <w:sz w:val="26"/>
          <w:szCs w:val="26"/>
          <w:rtl/>
          <w:lang w:bidi="ar-JO"/>
        </w:rPr>
        <w:t>الثاني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Pr="00CA6D1A">
        <w:rPr>
          <w:rFonts w:ascii="Segoe UI" w:hAnsi="Segoe UI" w:cs="Segoe UI" w:hint="cs"/>
          <w:sz w:val="26"/>
          <w:szCs w:val="26"/>
          <w:rtl/>
          <w:lang w:bidi="ar-JO"/>
        </w:rPr>
        <w:t xml:space="preserve">بنسبة </w:t>
      </w:r>
      <w:r w:rsidR="00E765B1" w:rsidRPr="00CA6D1A"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DA66A2" w:rsidRPr="00964CE7">
        <w:rPr>
          <w:rFonts w:ascii="Segoe UI" w:hAnsi="Segoe UI" w:cs="Segoe UI"/>
          <w:sz w:val="26"/>
          <w:szCs w:val="26"/>
          <w:rtl/>
          <w:lang w:bidi="ar-JO"/>
        </w:rPr>
        <w:t>64%</w:t>
      </w:r>
      <w:r w:rsidR="00876235">
        <w:rPr>
          <w:rFonts w:ascii="Segoe UI" w:hAnsi="Segoe UI" w:cs="Segoe UI" w:hint="cs"/>
          <w:sz w:val="26"/>
          <w:szCs w:val="26"/>
          <w:rtl/>
          <w:lang w:bidi="ar-JO"/>
        </w:rPr>
        <w:t>)،</w:t>
      </w:r>
      <w:r w:rsidR="00DA66A2" w:rsidRPr="00CA6D1A">
        <w:rPr>
          <w:rFonts w:ascii="Segoe UI" w:hAnsi="Segoe UI" w:cs="Segoe UI"/>
          <w:sz w:val="26"/>
          <w:szCs w:val="26"/>
          <w:lang w:bidi="ar-JO"/>
        </w:rPr>
        <w:t xml:space="preserve"> </w:t>
      </w:r>
      <w:r w:rsidR="00DA66A2">
        <w:rPr>
          <w:rFonts w:ascii="Segoe UI" w:hAnsi="Segoe UI" w:cs="Segoe UI" w:hint="cs"/>
          <w:sz w:val="26"/>
          <w:szCs w:val="26"/>
          <w:rtl/>
          <w:lang w:bidi="ar-JO"/>
        </w:rPr>
        <w:t>و</w:t>
      </w:r>
      <w:r w:rsidR="00876235">
        <w:rPr>
          <w:rFonts w:ascii="Segoe UI" w:hAnsi="Segoe UI" w:cs="Segoe UI" w:hint="cs"/>
          <w:sz w:val="26"/>
          <w:szCs w:val="26"/>
          <w:rtl/>
          <w:lang w:bidi="ar-JO"/>
        </w:rPr>
        <w:t xml:space="preserve">كما أشارت </w:t>
      </w:r>
      <w:r w:rsidR="00DA66A2">
        <w:rPr>
          <w:rFonts w:ascii="Segoe UI" w:hAnsi="Segoe UI" w:cs="Segoe UI" w:hint="cs"/>
          <w:sz w:val="26"/>
          <w:szCs w:val="26"/>
          <w:rtl/>
          <w:lang w:bidi="ar-JO"/>
        </w:rPr>
        <w:t>إلى</w:t>
      </w:r>
      <w:r w:rsidR="005E4756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5E4756" w:rsidRPr="00CA6D1A">
        <w:rPr>
          <w:rFonts w:ascii="Segoe UI" w:hAnsi="Segoe UI" w:cs="Segoe UI" w:hint="cs"/>
          <w:sz w:val="26"/>
          <w:szCs w:val="26"/>
          <w:rtl/>
          <w:lang w:bidi="ar-JO"/>
        </w:rPr>
        <w:t xml:space="preserve">نمو في معدل </w:t>
      </w:r>
      <w:r w:rsidR="005E4756" w:rsidRPr="009B6C9C">
        <w:rPr>
          <w:rFonts w:ascii="Segoe UI" w:hAnsi="Segoe UI" w:cs="Segoe UI" w:hint="eastAsia"/>
          <w:sz w:val="26"/>
          <w:szCs w:val="26"/>
          <w:rtl/>
          <w:lang w:bidi="ar-JO"/>
        </w:rPr>
        <w:t>استخدام</w:t>
      </w:r>
      <w:r w:rsidR="005E4756" w:rsidRPr="009B6C9C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5E4756" w:rsidRPr="00CA6D1A">
        <w:rPr>
          <w:rFonts w:ascii="Segoe UI" w:hAnsi="Segoe UI" w:cs="Segoe UI" w:hint="cs"/>
          <w:sz w:val="26"/>
          <w:szCs w:val="26"/>
          <w:rtl/>
          <w:lang w:bidi="ar-JO"/>
        </w:rPr>
        <w:t xml:space="preserve">المشترك للبيانات بنسبة </w:t>
      </w:r>
      <w:r w:rsidR="00037EF0" w:rsidRPr="00CA6D1A">
        <w:rPr>
          <w:rFonts w:ascii="Segoe UI" w:hAnsi="Segoe UI" w:cs="Segoe UI"/>
          <w:sz w:val="26"/>
          <w:szCs w:val="26"/>
          <w:rtl/>
          <w:lang w:bidi="ar-JO"/>
        </w:rPr>
        <w:t xml:space="preserve">(4%) </w:t>
      </w:r>
      <w:r w:rsidR="005E4756" w:rsidRPr="00CA6D1A">
        <w:rPr>
          <w:rFonts w:ascii="Segoe UI" w:hAnsi="Segoe UI" w:cs="Segoe UI" w:hint="cs"/>
          <w:sz w:val="26"/>
          <w:szCs w:val="26"/>
          <w:rtl/>
          <w:lang w:bidi="ar-JO"/>
        </w:rPr>
        <w:t xml:space="preserve">لخدمات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الانترنت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الثابت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عريض</w:t>
      </w:r>
      <w:r w:rsidR="008725C5" w:rsidRPr="00B36F54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8725C5" w:rsidRPr="00B36F54">
        <w:rPr>
          <w:rFonts w:ascii="Segoe UI" w:hAnsi="Segoe UI" w:cs="Segoe UI" w:hint="eastAsia"/>
          <w:sz w:val="26"/>
          <w:szCs w:val="26"/>
          <w:rtl/>
          <w:lang w:bidi="ar-JO"/>
        </w:rPr>
        <w:t>النطاق</w:t>
      </w:r>
      <w:r w:rsidR="008725C5" w:rsidRPr="00CA6D1A" w:rsidDel="008725C5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C51DA0">
        <w:rPr>
          <w:rFonts w:ascii="Segoe UI" w:hAnsi="Segoe UI" w:cs="Segoe UI" w:hint="cs"/>
          <w:sz w:val="26"/>
          <w:szCs w:val="26"/>
          <w:rtl/>
          <w:lang w:bidi="ar-JO"/>
        </w:rPr>
        <w:t>مقارنة بالربع الأول من العام 2024</w:t>
      </w:r>
      <w:r w:rsidR="00174FFD">
        <w:rPr>
          <w:rFonts w:ascii="Segoe UI" w:hAnsi="Segoe UI" w:cs="Segoe UI" w:hint="cs"/>
          <w:sz w:val="26"/>
          <w:szCs w:val="26"/>
          <w:rtl/>
          <w:lang w:bidi="ar-JO"/>
        </w:rPr>
        <w:t>.</w:t>
      </w:r>
    </w:p>
    <w:p w:rsidR="00EE7487" w:rsidRPr="003F2312" w:rsidRDefault="00EE7487" w:rsidP="00F47F52">
      <w:pPr>
        <w:jc w:val="both"/>
        <w:rPr>
          <w:rFonts w:ascii="Segoe UI" w:hAnsi="Segoe UI" w:cs="Segoe UI"/>
          <w:sz w:val="26"/>
          <w:szCs w:val="26"/>
          <w:lang w:bidi="ar-JO"/>
        </w:rPr>
      </w:pPr>
    </w:p>
    <w:p w:rsidR="00477521" w:rsidRPr="00876235" w:rsidRDefault="00477521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</w:pP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خدمات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الانترنت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الثابت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عريض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النطاق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>:</w:t>
      </w:r>
    </w:p>
    <w:p w:rsidR="00477521" w:rsidRPr="00876235" w:rsidRDefault="00477521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</w:pPr>
    </w:p>
    <w:p w:rsidR="00477521" w:rsidRPr="005D4BCC" w:rsidRDefault="00477521" w:rsidP="00F47F52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وفيما يتعلق بخدمات ا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لإ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نترنت الثابت عريض النطاق، فقد أشار التقرير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إل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ى تسجيل (</w:t>
      </w:r>
      <w:r w:rsidR="00E765B1">
        <w:rPr>
          <w:rFonts w:ascii="Segoe UI" w:hAnsi="Segoe UI" w:cs="Segoe UI" w:hint="cs"/>
          <w:sz w:val="26"/>
          <w:szCs w:val="26"/>
          <w:rtl/>
          <w:lang w:bidi="ar-JO"/>
        </w:rPr>
        <w:t>793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)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ألف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اشتراك بنسبة انتشار بلغت (</w:t>
      </w:r>
      <w:r w:rsidR="00E765B1">
        <w:rPr>
          <w:rFonts w:ascii="Segoe UI" w:hAnsi="Segoe UI" w:cs="Segoe UI" w:hint="cs"/>
          <w:sz w:val="26"/>
          <w:szCs w:val="26"/>
          <w:rtl/>
          <w:lang w:bidi="ar-JO"/>
        </w:rPr>
        <w:t>32,9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%)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بالنسبة لعدد الأسر</w:t>
      </w:r>
      <w:r w:rsidR="00D45150">
        <w:rPr>
          <w:rFonts w:ascii="Segoe UI" w:hAnsi="Segoe UI" w:cs="Segoe UI" w:hint="cs"/>
          <w:sz w:val="26"/>
          <w:szCs w:val="26"/>
          <w:rtl/>
          <w:lang w:bidi="ar-JO"/>
        </w:rPr>
        <w:t xml:space="preserve"> للربع الثاني للعام 2024 </w:t>
      </w:r>
      <w:r w:rsidR="00E765B1" w:rsidRPr="00964CE7">
        <w:rPr>
          <w:rFonts w:ascii="Segoe UI" w:hAnsi="Segoe UI" w:cs="Segoe UI" w:hint="eastAsia"/>
          <w:sz w:val="26"/>
          <w:szCs w:val="26"/>
          <w:rtl/>
          <w:lang w:bidi="ar-JO"/>
        </w:rPr>
        <w:t>مقارنة</w:t>
      </w:r>
      <w:r w:rsidR="00D45150" w:rsidRPr="00964CE7">
        <w:rPr>
          <w:rFonts w:ascii="Segoe UI" w:hAnsi="Segoe UI" w:cs="Segoe UI"/>
          <w:sz w:val="26"/>
          <w:szCs w:val="26"/>
          <w:rtl/>
          <w:lang w:bidi="ar-JO"/>
        </w:rPr>
        <w:t xml:space="preserve">  مع (798) ألف اشتراك بنسبة انتشار بلغت (33,3</w:t>
      </w:r>
      <w:r w:rsidR="003C4B56">
        <w:rPr>
          <w:rFonts w:ascii="Segoe UI" w:hAnsi="Segoe UI" w:cs="Segoe UI"/>
          <w:sz w:val="26"/>
          <w:szCs w:val="26"/>
          <w:lang w:bidi="ar-JO"/>
        </w:rPr>
        <w:t>%</w:t>
      </w:r>
      <w:r w:rsidR="00D45150" w:rsidRPr="00964CE7">
        <w:rPr>
          <w:rFonts w:ascii="Segoe UI" w:hAnsi="Segoe UI" w:cs="Segoe UI"/>
          <w:sz w:val="26"/>
          <w:szCs w:val="26"/>
          <w:rtl/>
          <w:lang w:bidi="ar-JO"/>
        </w:rPr>
        <w:t xml:space="preserve">) </w:t>
      </w:r>
      <w:r w:rsidR="00D45150" w:rsidRPr="0037330D">
        <w:rPr>
          <w:rFonts w:ascii="Segoe UI" w:hAnsi="Segoe UI" w:cs="Segoe UI" w:hint="cs"/>
          <w:sz w:val="26"/>
          <w:szCs w:val="26"/>
          <w:rtl/>
          <w:lang w:bidi="ar-JO"/>
        </w:rPr>
        <w:t xml:space="preserve">للربع </w:t>
      </w:r>
      <w:r w:rsidR="00D45150">
        <w:rPr>
          <w:rFonts w:ascii="Segoe UI" w:hAnsi="Segoe UI" w:cs="Segoe UI" w:hint="cs"/>
          <w:sz w:val="26"/>
          <w:szCs w:val="26"/>
          <w:rtl/>
          <w:lang w:bidi="ar-JO"/>
        </w:rPr>
        <w:t>الأول من نفس العام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، في المقابل سجلت اشتراكات ا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لإ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نترنت عريض النطاق باستخدام تقنية (</w:t>
      </w:r>
      <w:r w:rsidRPr="002E6364">
        <w:rPr>
          <w:rFonts w:ascii="Segoe UI" w:hAnsi="Segoe UI" w:cs="Segoe UI"/>
          <w:sz w:val="26"/>
          <w:szCs w:val="26"/>
          <w:lang w:bidi="ar-JO"/>
        </w:rPr>
        <w:t>FBWA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) ما نسبته (</w:t>
      </w:r>
      <w:r w:rsidR="00D45150">
        <w:rPr>
          <w:rFonts w:ascii="Segoe UI" w:hAnsi="Segoe UI" w:cs="Segoe UI" w:hint="cs"/>
          <w:sz w:val="26"/>
          <w:szCs w:val="26"/>
          <w:rtl/>
          <w:lang w:bidi="ar-JO"/>
        </w:rPr>
        <w:t>18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%)، في حين بلغ</w:t>
      </w:r>
      <w:r w:rsidR="001C01C6">
        <w:rPr>
          <w:rFonts w:ascii="Segoe UI" w:hAnsi="Segoe UI" w:cs="Segoe UI" w:hint="cs"/>
          <w:sz w:val="26"/>
          <w:szCs w:val="26"/>
          <w:rtl/>
          <w:lang w:bidi="ar-JO"/>
        </w:rPr>
        <w:t>ت نسبة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اشتراكات خدمات ال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نترنت باستخدام تقنية (</w:t>
      </w:r>
      <w:proofErr w:type="spellStart"/>
      <w:r>
        <w:rPr>
          <w:rFonts w:ascii="Segoe UI" w:hAnsi="Segoe UI" w:cs="Segoe UI"/>
          <w:sz w:val="26"/>
          <w:szCs w:val="26"/>
          <w:lang w:bidi="ar-JO"/>
        </w:rPr>
        <w:t>x</w:t>
      </w:r>
      <w:r w:rsidRPr="002E6364">
        <w:rPr>
          <w:rFonts w:ascii="Segoe UI" w:hAnsi="Segoe UI" w:cs="Segoe UI"/>
          <w:sz w:val="26"/>
          <w:szCs w:val="26"/>
          <w:lang w:bidi="ar-JO"/>
        </w:rPr>
        <w:t>DSL</w:t>
      </w:r>
      <w:proofErr w:type="spellEnd"/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) </w:t>
      </w:r>
      <w:r w:rsidRPr="002E6364">
        <w:rPr>
          <w:rFonts w:ascii="Segoe UI" w:hAnsi="Segoe UI" w:cs="Segoe UI"/>
          <w:sz w:val="26"/>
          <w:szCs w:val="26"/>
          <w:rtl/>
          <w:lang w:bidi="ar-JO"/>
        </w:rPr>
        <w:t>(</w:t>
      </w:r>
      <w:r w:rsidR="00D45150">
        <w:rPr>
          <w:rFonts w:ascii="Segoe UI" w:hAnsi="Segoe UI" w:cs="Segoe UI" w:hint="cs"/>
          <w:sz w:val="26"/>
          <w:szCs w:val="26"/>
          <w:rtl/>
          <w:lang w:bidi="ar-JO"/>
        </w:rPr>
        <w:t>11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%)</w:t>
      </w:r>
      <w:r w:rsidR="00337E9B">
        <w:rPr>
          <w:rFonts w:ascii="Segoe UI" w:hAnsi="Segoe UI" w:cs="Segoe UI" w:hint="cs"/>
          <w:sz w:val="26"/>
          <w:szCs w:val="26"/>
          <w:rtl/>
          <w:lang w:bidi="ar-JO"/>
        </w:rPr>
        <w:t xml:space="preserve">، وكذلك بلغت نسبة اشتراكات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تقني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ة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الفايبر </w:t>
      </w:r>
      <w:r w:rsidR="00337E9B" w:rsidRPr="002E6364"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337E9B">
        <w:rPr>
          <w:rFonts w:ascii="Segoe UI" w:hAnsi="Segoe UI" w:cs="Segoe UI" w:hint="cs"/>
          <w:sz w:val="26"/>
          <w:szCs w:val="26"/>
          <w:rtl/>
          <w:lang w:bidi="ar-JO"/>
        </w:rPr>
        <w:t>70</w:t>
      </w:r>
      <w:r w:rsidR="00337E9B" w:rsidRPr="002E6364">
        <w:rPr>
          <w:rFonts w:ascii="Segoe UI" w:hAnsi="Segoe UI" w:cs="Segoe UI" w:hint="cs"/>
          <w:sz w:val="26"/>
          <w:szCs w:val="26"/>
          <w:rtl/>
          <w:lang w:bidi="ar-JO"/>
        </w:rPr>
        <w:t>%)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مع نهاية الربع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ا</w:t>
      </w:r>
      <w:r w:rsidR="00D45150">
        <w:rPr>
          <w:rFonts w:ascii="Segoe UI" w:hAnsi="Segoe UI" w:cs="Segoe UI" w:hint="cs"/>
          <w:sz w:val="26"/>
          <w:szCs w:val="26"/>
          <w:rtl/>
          <w:lang w:bidi="ar-JO"/>
        </w:rPr>
        <w:t>لثاني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،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حيث وصلت اشتراكات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نترنت الفايبر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ما مجموعه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(</w:t>
      </w:r>
      <w:r w:rsidR="000F31A7">
        <w:rPr>
          <w:rFonts w:ascii="Segoe UI" w:hAnsi="Segoe UI" w:cs="Segoe UI" w:hint="cs"/>
          <w:sz w:val="26"/>
          <w:szCs w:val="26"/>
          <w:rtl/>
          <w:lang w:bidi="ar-JO"/>
        </w:rPr>
        <w:t>556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)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أ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لف اشتراك خلال الربع </w:t>
      </w:r>
      <w:r w:rsidR="000F31A7">
        <w:rPr>
          <w:rFonts w:ascii="Segoe UI" w:hAnsi="Segoe UI" w:cs="Segoe UI" w:hint="cs"/>
          <w:sz w:val="26"/>
          <w:szCs w:val="26"/>
          <w:rtl/>
          <w:lang w:bidi="ar-JO"/>
        </w:rPr>
        <w:t>الثاني</w:t>
      </w:r>
      <w:r w:rsidR="00F36EA1">
        <w:rPr>
          <w:rFonts w:ascii="Segoe UI" w:hAnsi="Segoe UI" w:cs="Segoe UI" w:hint="cs"/>
          <w:sz w:val="26"/>
          <w:szCs w:val="26"/>
          <w:rtl/>
          <w:lang w:bidi="ar-JO"/>
        </w:rPr>
        <w:t xml:space="preserve"> للعام 2024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F36EA1" w:rsidRPr="005D4BCC">
        <w:rPr>
          <w:rFonts w:ascii="Segoe UI" w:hAnsi="Segoe UI" w:cs="Segoe UI" w:hint="eastAsia"/>
          <w:sz w:val="26"/>
          <w:szCs w:val="26"/>
          <w:rtl/>
          <w:lang w:bidi="ar-JO"/>
        </w:rPr>
        <w:t>مقارنة</w:t>
      </w:r>
      <w:r w:rsidR="00F36EA1" w:rsidRPr="005D4BCC">
        <w:rPr>
          <w:rFonts w:ascii="Segoe UI" w:hAnsi="Segoe UI" w:cs="Segoe UI"/>
          <w:sz w:val="26"/>
          <w:szCs w:val="26"/>
          <w:rtl/>
          <w:lang w:bidi="ar-JO"/>
        </w:rPr>
        <w:t xml:space="preserve"> مع </w:t>
      </w:r>
      <w:r w:rsidR="003C4B56">
        <w:rPr>
          <w:rFonts w:ascii="Segoe UI" w:hAnsi="Segoe UI" w:cs="Segoe UI" w:hint="cs"/>
          <w:sz w:val="26"/>
          <w:szCs w:val="26"/>
          <w:rtl/>
          <w:lang w:bidi="ar-JO"/>
        </w:rPr>
        <w:t>(548) ألف اشتراك ل</w:t>
      </w:r>
      <w:r w:rsidR="00F36EA1" w:rsidRPr="005D4BCC">
        <w:rPr>
          <w:rFonts w:ascii="Segoe UI" w:hAnsi="Segoe UI" w:cs="Segoe UI"/>
          <w:sz w:val="26"/>
          <w:szCs w:val="26"/>
          <w:rtl/>
          <w:lang w:bidi="ar-JO"/>
        </w:rPr>
        <w:t xml:space="preserve">لربع </w:t>
      </w:r>
      <w:r w:rsidR="00A27BBC">
        <w:rPr>
          <w:rFonts w:ascii="Segoe UI" w:hAnsi="Segoe UI" w:cs="Segoe UI" w:hint="cs"/>
          <w:sz w:val="26"/>
          <w:szCs w:val="26"/>
          <w:rtl/>
          <w:lang w:bidi="ar-JO"/>
        </w:rPr>
        <w:t xml:space="preserve">الأول </w:t>
      </w:r>
      <w:r w:rsidRPr="005D4BCC">
        <w:rPr>
          <w:rFonts w:ascii="Segoe UI" w:hAnsi="Segoe UI" w:cs="Segoe UI" w:hint="eastAsia"/>
          <w:sz w:val="26"/>
          <w:szCs w:val="26"/>
          <w:rtl/>
          <w:lang w:bidi="ar-JO"/>
        </w:rPr>
        <w:t>من</w:t>
      </w:r>
      <w:r w:rsidRPr="005D4BCC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A27BBC">
        <w:rPr>
          <w:rFonts w:ascii="Segoe UI" w:hAnsi="Segoe UI" w:cs="Segoe UI" w:hint="cs"/>
          <w:sz w:val="26"/>
          <w:szCs w:val="26"/>
          <w:rtl/>
          <w:lang w:bidi="ar-JO"/>
        </w:rPr>
        <w:t xml:space="preserve">ذات </w:t>
      </w:r>
      <w:r w:rsidRPr="005D4BCC">
        <w:rPr>
          <w:rFonts w:ascii="Segoe UI" w:hAnsi="Segoe UI" w:cs="Segoe UI"/>
          <w:sz w:val="26"/>
          <w:szCs w:val="26"/>
          <w:rtl/>
          <w:lang w:bidi="ar-JO"/>
        </w:rPr>
        <w:t>العام</w:t>
      </w:r>
      <w:r w:rsidR="00A27BBC">
        <w:rPr>
          <w:rFonts w:ascii="Segoe UI" w:hAnsi="Segoe UI" w:cs="Segoe UI" w:hint="cs"/>
          <w:sz w:val="26"/>
          <w:szCs w:val="26"/>
          <w:rtl/>
          <w:lang w:bidi="ar-JO"/>
        </w:rPr>
        <w:t>.</w:t>
      </w:r>
    </w:p>
    <w:p w:rsidR="00477521" w:rsidRPr="005D4BCC" w:rsidRDefault="00477521" w:rsidP="00F47F52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</w:p>
    <w:p w:rsidR="00477521" w:rsidRPr="002E6364" w:rsidRDefault="00477521" w:rsidP="00F47F52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وبلغ حجم استخدام البيانات الثابتة عريضة النطاق حوالي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0F31A7">
        <w:rPr>
          <w:rFonts w:ascii="Segoe UI" w:hAnsi="Segoe UI" w:cs="Segoe UI" w:hint="cs"/>
          <w:sz w:val="26"/>
          <w:szCs w:val="26"/>
          <w:rtl/>
          <w:lang w:bidi="ar-JO"/>
        </w:rPr>
        <w:t>1,289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) مليا</w:t>
      </w:r>
      <w:r>
        <w:rPr>
          <w:rFonts w:ascii="Segoe UI" w:hAnsi="Segoe UI" w:cs="Segoe UI" w:hint="eastAsia"/>
          <w:sz w:val="26"/>
          <w:szCs w:val="26"/>
          <w:rtl/>
          <w:lang w:bidi="ar-JO"/>
        </w:rPr>
        <w:t>ر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جيجا بايت</w:t>
      </w:r>
      <w:r w:rsidR="000F31A7">
        <w:rPr>
          <w:rFonts w:ascii="Segoe UI" w:hAnsi="Segoe UI" w:cs="Segoe UI" w:hint="cs"/>
          <w:sz w:val="26"/>
          <w:szCs w:val="26"/>
          <w:rtl/>
          <w:lang w:bidi="ar-JO"/>
        </w:rPr>
        <w:t xml:space="preserve"> للربع الثاني للعام 2024 مقارنة مع (1,249) </w:t>
      </w:r>
      <w:r w:rsidR="00D74B58">
        <w:rPr>
          <w:rFonts w:ascii="Segoe UI" w:hAnsi="Segoe UI" w:cs="Segoe UI" w:hint="cs"/>
          <w:sz w:val="26"/>
          <w:szCs w:val="26"/>
          <w:rtl/>
          <w:lang w:bidi="ar-JO"/>
        </w:rPr>
        <w:t>مليا</w:t>
      </w:r>
      <w:r w:rsidR="00D74B58">
        <w:rPr>
          <w:rFonts w:ascii="Segoe UI" w:hAnsi="Segoe UI" w:cs="Segoe UI" w:hint="eastAsia"/>
          <w:sz w:val="26"/>
          <w:szCs w:val="26"/>
          <w:rtl/>
          <w:lang w:bidi="ar-JO"/>
        </w:rPr>
        <w:t>ر</w:t>
      </w:r>
      <w:r w:rsidR="00D74B58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جيجا </w:t>
      </w:r>
      <w:r w:rsidR="000F31A7">
        <w:rPr>
          <w:rFonts w:ascii="Segoe UI" w:hAnsi="Segoe UI" w:cs="Segoe UI" w:hint="cs"/>
          <w:sz w:val="26"/>
          <w:szCs w:val="26"/>
          <w:rtl/>
          <w:lang w:bidi="ar-JO"/>
        </w:rPr>
        <w:t>للربع الأول من العام نفسه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، بمتوسط شهري لاستخدام ال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نترنت الثابت بلغ (</w:t>
      </w:r>
      <w:r w:rsidR="000F31A7">
        <w:rPr>
          <w:rFonts w:ascii="Segoe UI" w:hAnsi="Segoe UI" w:cs="Segoe UI" w:hint="cs"/>
          <w:sz w:val="26"/>
          <w:szCs w:val="26"/>
          <w:rtl/>
          <w:lang w:bidi="ar-JO"/>
        </w:rPr>
        <w:t>542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) جيجا لكل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اشتراك</w:t>
      </w:r>
      <w:r w:rsidR="005E4756">
        <w:rPr>
          <w:rFonts w:ascii="Segoe UI" w:hAnsi="Segoe UI" w:cs="Segoe UI" w:hint="cs"/>
          <w:sz w:val="26"/>
          <w:szCs w:val="26"/>
          <w:rtl/>
          <w:lang w:bidi="ar-JO"/>
        </w:rPr>
        <w:t xml:space="preserve"> والتي كانت </w:t>
      </w:r>
      <w:r w:rsidR="00542E23">
        <w:rPr>
          <w:rFonts w:ascii="Segoe UI" w:hAnsi="Segoe UI" w:cs="Segoe UI" w:hint="cs"/>
          <w:sz w:val="26"/>
          <w:szCs w:val="26"/>
          <w:rtl/>
          <w:lang w:bidi="ar-JO"/>
        </w:rPr>
        <w:t>في الربع الأول</w:t>
      </w:r>
      <w:r w:rsidR="00417215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D2735B">
        <w:rPr>
          <w:rFonts w:ascii="Segoe UI" w:hAnsi="Segoe UI" w:cs="Segoe UI" w:hint="cs"/>
          <w:sz w:val="26"/>
          <w:szCs w:val="26"/>
          <w:rtl/>
          <w:lang w:bidi="ar-JO"/>
        </w:rPr>
        <w:t xml:space="preserve">للعام 2024 </w:t>
      </w:r>
      <w:r w:rsidR="00B841DF">
        <w:rPr>
          <w:rFonts w:ascii="Segoe UI" w:hAnsi="Segoe UI" w:cs="Segoe UI" w:hint="cs"/>
          <w:sz w:val="26"/>
          <w:szCs w:val="26"/>
          <w:rtl/>
          <w:lang w:bidi="ar-JO"/>
        </w:rPr>
        <w:t xml:space="preserve">حوالي </w:t>
      </w:r>
      <w:r w:rsidR="00B841DF">
        <w:rPr>
          <w:rFonts w:ascii="Segoe UI" w:hAnsi="Segoe UI" w:cs="Segoe UI"/>
          <w:sz w:val="26"/>
          <w:szCs w:val="26"/>
          <w:rtl/>
          <w:lang w:bidi="ar-JO"/>
        </w:rPr>
        <w:t>(</w:t>
      </w:r>
      <w:r w:rsidR="00AB5350">
        <w:rPr>
          <w:rFonts w:ascii="Segoe UI" w:hAnsi="Segoe UI" w:cs="Segoe UI" w:hint="cs"/>
          <w:sz w:val="26"/>
          <w:szCs w:val="26"/>
          <w:rtl/>
          <w:lang w:bidi="ar-JO"/>
        </w:rPr>
        <w:t>521</w:t>
      </w:r>
      <w:r w:rsidR="000F31A7">
        <w:rPr>
          <w:rFonts w:ascii="Segoe UI" w:hAnsi="Segoe UI" w:cs="Segoe UI" w:hint="cs"/>
          <w:sz w:val="26"/>
          <w:szCs w:val="26"/>
          <w:rtl/>
          <w:lang w:bidi="ar-JO"/>
        </w:rPr>
        <w:t>)</w:t>
      </w:r>
      <w:r w:rsidR="005E4756">
        <w:rPr>
          <w:rFonts w:ascii="Segoe UI" w:hAnsi="Segoe UI" w:cs="Segoe UI" w:hint="cs"/>
          <w:sz w:val="26"/>
          <w:szCs w:val="26"/>
          <w:rtl/>
          <w:lang w:bidi="ar-JO"/>
        </w:rPr>
        <w:t xml:space="preserve"> جيجا بنسبة نمو </w:t>
      </w:r>
      <w:r w:rsidR="005E4756" w:rsidRPr="00D16766">
        <w:rPr>
          <w:rFonts w:ascii="Segoe UI" w:hAnsi="Segoe UI" w:cs="Segoe UI" w:hint="cs"/>
          <w:sz w:val="26"/>
          <w:szCs w:val="26"/>
          <w:rtl/>
          <w:lang w:bidi="ar-JO"/>
        </w:rPr>
        <w:t xml:space="preserve">بلغت </w:t>
      </w:r>
      <w:r w:rsidR="00417215" w:rsidRPr="00964CE7">
        <w:rPr>
          <w:rFonts w:ascii="Segoe UI" w:hAnsi="Segoe UI" w:cs="Segoe UI"/>
          <w:sz w:val="26"/>
          <w:szCs w:val="26"/>
          <w:rtl/>
          <w:lang w:bidi="ar-JO"/>
        </w:rPr>
        <w:t>(</w:t>
      </w:r>
      <w:r w:rsidR="00AB5350">
        <w:rPr>
          <w:rFonts w:ascii="Segoe UI" w:hAnsi="Segoe UI" w:cs="Segoe UI" w:hint="cs"/>
          <w:sz w:val="26"/>
          <w:szCs w:val="26"/>
          <w:rtl/>
          <w:lang w:bidi="ar-JO"/>
        </w:rPr>
        <w:t>4</w:t>
      </w:r>
      <w:r w:rsidR="00F47F52" w:rsidRPr="00964CE7">
        <w:rPr>
          <w:rFonts w:ascii="Segoe UI" w:hAnsi="Segoe UI" w:cs="Segoe UI"/>
          <w:sz w:val="26"/>
          <w:szCs w:val="26"/>
          <w:rtl/>
          <w:lang w:bidi="ar-JO"/>
        </w:rPr>
        <w:t>%</w:t>
      </w:r>
      <w:r w:rsidR="000F31A7" w:rsidRPr="00964CE7">
        <w:rPr>
          <w:rFonts w:ascii="Segoe UI" w:hAnsi="Segoe UI" w:cs="Segoe UI"/>
          <w:sz w:val="26"/>
          <w:szCs w:val="26"/>
          <w:rtl/>
          <w:lang w:bidi="ar-JO"/>
        </w:rPr>
        <w:t>)</w:t>
      </w:r>
      <w:r w:rsidRPr="00964CE7">
        <w:rPr>
          <w:rFonts w:ascii="Segoe UI" w:hAnsi="Segoe UI" w:cs="Segoe UI"/>
          <w:sz w:val="26"/>
          <w:szCs w:val="26"/>
          <w:rtl/>
          <w:lang w:bidi="ar-JO"/>
        </w:rPr>
        <w:t>.</w:t>
      </w:r>
    </w:p>
    <w:p w:rsidR="00477521" w:rsidRDefault="00477521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lang w:bidi="ar-JO"/>
        </w:rPr>
      </w:pPr>
    </w:p>
    <w:p w:rsidR="00477521" w:rsidRPr="00B36F54" w:rsidRDefault="00477521" w:rsidP="00F47F52">
      <w:pPr>
        <w:spacing w:before="240"/>
        <w:jc w:val="both"/>
        <w:rPr>
          <w:rFonts w:ascii="Segoe UI" w:hAnsi="Segoe UI" w:cs="Segoe UI"/>
          <w:b/>
          <w:bCs/>
          <w:sz w:val="26"/>
          <w:szCs w:val="26"/>
          <w:rtl/>
          <w:lang w:bidi="ar-JO"/>
        </w:rPr>
      </w:pPr>
      <w:bookmarkStart w:id="2" w:name="_Hlk181018032"/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خدمات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الاتصالات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المتنقلة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عريضة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النطاق</w:t>
      </w:r>
      <w:bookmarkEnd w:id="2"/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>:</w:t>
      </w:r>
    </w:p>
    <w:p w:rsidR="00477521" w:rsidRDefault="00477521" w:rsidP="00F47F52">
      <w:pPr>
        <w:spacing w:before="240"/>
        <w:jc w:val="both"/>
        <w:rPr>
          <w:rFonts w:ascii="Segoe UI" w:hAnsi="Segoe UI" w:cs="Segoe UI"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من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جانب آخر، أشار التقرير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إ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لى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أ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ن مجموع اشتراكات خدمات الاتصالات المتنقلة عريضة النطاق بلغ (</w:t>
      </w:r>
      <w:r w:rsidR="007A7CFB">
        <w:rPr>
          <w:rFonts w:ascii="Segoe UI" w:hAnsi="Segoe UI" w:cs="Segoe UI"/>
          <w:sz w:val="26"/>
          <w:szCs w:val="26"/>
          <w:lang w:bidi="ar-JO"/>
        </w:rPr>
        <w:t>7.908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) مليون اشتراك حتى نهاية الربع 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 xml:space="preserve">الثاني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من العام </w:t>
      </w:r>
      <w:r w:rsidR="00477AF6">
        <w:rPr>
          <w:rFonts w:ascii="Segoe UI" w:hAnsi="Segoe UI" w:cs="Segoe UI" w:hint="cs"/>
          <w:sz w:val="26"/>
          <w:szCs w:val="26"/>
          <w:rtl/>
          <w:lang w:bidi="ar-JO"/>
        </w:rPr>
        <w:t>2024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،</w:t>
      </w:r>
      <w:r w:rsidR="00477AF6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موزعة على اشتراكات بما نسبته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(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>71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%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)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للدفع المسبق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و(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>29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%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)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اشتراك للدفع اللاحق،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فيما بلغت نسبة اشتراكات خطوط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(الصوت والبيانات ) ما نسبته (</w:t>
      </w:r>
      <w:r w:rsidR="000E7550">
        <w:rPr>
          <w:rFonts w:ascii="Segoe UI" w:hAnsi="Segoe UI" w:cs="Segoe UI" w:hint="cs"/>
          <w:sz w:val="26"/>
          <w:szCs w:val="26"/>
          <w:rtl/>
          <w:lang w:bidi="ar-JO"/>
        </w:rPr>
        <w:t>84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>%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) ،واشتراكات خطوط البيانات فقط ما نسبته (</w:t>
      </w:r>
      <w:r w:rsidR="000E7550">
        <w:rPr>
          <w:rFonts w:ascii="Segoe UI" w:hAnsi="Segoe UI" w:cs="Segoe UI" w:hint="cs"/>
          <w:sz w:val="26"/>
          <w:szCs w:val="26"/>
          <w:rtl/>
          <w:lang w:bidi="ar-JO"/>
        </w:rPr>
        <w:t>16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%)،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فيما بلغ حجم الحركة الهاتفية الصوتية المتنقلة حوالي 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7A7CFB">
        <w:rPr>
          <w:rFonts w:ascii="Segoe UI" w:hAnsi="Segoe UI" w:cs="Segoe UI"/>
          <w:sz w:val="26"/>
          <w:szCs w:val="26"/>
          <w:lang w:bidi="ar-JO"/>
        </w:rPr>
        <w:t>7.6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>)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مليار دقيقة، موزع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ة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على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CC60F8">
        <w:rPr>
          <w:rFonts w:ascii="Segoe UI" w:hAnsi="Segoe UI" w:cs="Segoe UI" w:hint="cs"/>
          <w:sz w:val="26"/>
          <w:szCs w:val="26"/>
          <w:rtl/>
          <w:lang w:bidi="ar-JO"/>
        </w:rPr>
        <w:t>97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%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)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محلي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اً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و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CC60F8">
        <w:rPr>
          <w:rFonts w:ascii="Segoe UI" w:hAnsi="Segoe UI" w:cs="Segoe UI" w:hint="cs"/>
          <w:sz w:val="26"/>
          <w:szCs w:val="26"/>
          <w:rtl/>
          <w:lang w:bidi="ar-JO"/>
        </w:rPr>
        <w:t>3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%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)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دولي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اً،</w:t>
      </w:r>
      <w:r w:rsidR="00D228BF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وبلغت  الرسائل النصية المرسلة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حوالي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( </w:t>
      </w:r>
      <w:r w:rsidR="00D139E2">
        <w:rPr>
          <w:rFonts w:ascii="Segoe UI" w:hAnsi="Segoe UI" w:cs="Segoe UI" w:hint="cs"/>
          <w:sz w:val="26"/>
          <w:szCs w:val="26"/>
          <w:rtl/>
          <w:lang w:bidi="ar-JO"/>
        </w:rPr>
        <w:t>290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) مليون رسال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ة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نص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ي</w:t>
      </w:r>
      <w:r>
        <w:rPr>
          <w:rFonts w:ascii="Segoe UI" w:hAnsi="Segoe UI" w:cs="Segoe UI" w:hint="eastAsia"/>
          <w:sz w:val="26"/>
          <w:szCs w:val="26"/>
          <w:rtl/>
          <w:lang w:bidi="ar-JO"/>
        </w:rPr>
        <w:t>ة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، و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بلغت نسبة الانتشار لاشتراكات الهاتف المتنقل حتى نهاية الربع </w:t>
      </w:r>
      <w:r w:rsidR="000E7550">
        <w:rPr>
          <w:rFonts w:ascii="Segoe UI" w:hAnsi="Segoe UI" w:cs="Segoe UI" w:hint="cs"/>
          <w:sz w:val="26"/>
          <w:szCs w:val="26"/>
          <w:rtl/>
          <w:lang w:bidi="ar-JO"/>
        </w:rPr>
        <w:t>الثاني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من 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ال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عام </w:t>
      </w:r>
      <w:r w:rsidR="00C04725">
        <w:rPr>
          <w:rFonts w:ascii="Segoe UI" w:hAnsi="Segoe UI" w:cs="Segoe UI" w:hint="cs"/>
          <w:sz w:val="26"/>
          <w:szCs w:val="26"/>
          <w:rtl/>
          <w:lang w:bidi="ar-JO"/>
        </w:rPr>
        <w:lastRenderedPageBreak/>
        <w:t>2024</w:t>
      </w:r>
      <w:r w:rsidR="00C04725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ما نسبته(</w:t>
      </w:r>
      <w:r w:rsidR="00A0618D">
        <w:rPr>
          <w:rFonts w:ascii="Segoe UI" w:hAnsi="Segoe UI" w:cs="Segoe UI"/>
          <w:sz w:val="26"/>
          <w:szCs w:val="26"/>
          <w:lang w:bidi="ar-JO"/>
        </w:rPr>
        <w:t>68.1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%) وفقا لعدد </w:t>
      </w:r>
      <w:r w:rsidRPr="002E6364">
        <w:rPr>
          <w:rFonts w:ascii="Segoe UI" w:hAnsi="Segoe UI" w:cs="Segoe UI" w:hint="eastAsia"/>
          <w:sz w:val="26"/>
          <w:szCs w:val="26"/>
          <w:rtl/>
          <w:lang w:bidi="ar-JO"/>
        </w:rPr>
        <w:t>السكان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الإجمالي و</w:t>
      </w:r>
      <w:r w:rsidR="00217C61">
        <w:rPr>
          <w:rFonts w:ascii="Segoe UI" w:hAnsi="Segoe UI" w:cs="Segoe UI" w:hint="cs"/>
          <w:sz w:val="26"/>
          <w:szCs w:val="26"/>
          <w:rtl/>
          <w:lang w:bidi="ar-JO"/>
        </w:rPr>
        <w:t>بنسبة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A0618D">
        <w:rPr>
          <w:rFonts w:ascii="Segoe UI" w:hAnsi="Segoe UI" w:cs="Segoe UI"/>
          <w:sz w:val="26"/>
          <w:szCs w:val="26"/>
          <w:lang w:bidi="ar-JO"/>
        </w:rPr>
        <w:t>104.7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%) وفقا لعدد </w:t>
      </w:r>
      <w:r w:rsidRPr="002E6364">
        <w:rPr>
          <w:rFonts w:ascii="Segoe UI" w:hAnsi="Segoe UI" w:cs="Segoe UI" w:hint="eastAsia"/>
          <w:sz w:val="26"/>
          <w:szCs w:val="26"/>
          <w:rtl/>
          <w:lang w:bidi="ar-JO"/>
        </w:rPr>
        <w:t>السكان</w:t>
      </w:r>
      <w:r>
        <w:rPr>
          <w:rFonts w:ascii="Segoe UI" w:hAnsi="Segoe UI" w:cs="Segoe UI" w:hint="cs"/>
          <w:sz w:val="26"/>
          <w:szCs w:val="26"/>
          <w:rtl/>
          <w:lang w:bidi="ar-JO"/>
        </w:rPr>
        <w:t xml:space="preserve"> الذين تتجاوز أعمارهم </w:t>
      </w:r>
      <w:r w:rsidR="00371983">
        <w:rPr>
          <w:rFonts w:ascii="Segoe UI" w:hAnsi="Segoe UI" w:cs="Segoe UI" w:hint="cs"/>
          <w:sz w:val="26"/>
          <w:szCs w:val="26"/>
          <w:rtl/>
          <w:lang w:bidi="ar-JO"/>
        </w:rPr>
        <w:t>15 سنة</w:t>
      </w:r>
      <w:r>
        <w:rPr>
          <w:rFonts w:ascii="Segoe UI" w:hAnsi="Segoe UI" w:cs="Segoe UI" w:hint="cs"/>
          <w:sz w:val="26"/>
          <w:szCs w:val="26"/>
          <w:rtl/>
          <w:lang w:bidi="ar-JO"/>
        </w:rPr>
        <w:t>.</w:t>
      </w:r>
    </w:p>
    <w:p w:rsidR="00477521" w:rsidRDefault="00477521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lang w:bidi="ar-JO"/>
        </w:rPr>
      </w:pPr>
    </w:p>
    <w:p w:rsidR="00477521" w:rsidRPr="00876235" w:rsidRDefault="005E4756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</w:pP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فيما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يخص </w:t>
      </w:r>
      <w:r w:rsidR="00477521"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اشتراكات</w:t>
      </w:r>
      <w:r w:rsidR="00477521"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الجيل الخامس المتنقل </w:t>
      </w:r>
    </w:p>
    <w:p w:rsidR="00477521" w:rsidRDefault="00477521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</w:pPr>
    </w:p>
    <w:p w:rsidR="00477521" w:rsidRDefault="005E4756" w:rsidP="00F47F52">
      <w:pPr>
        <w:jc w:val="both"/>
        <w:rPr>
          <w:rFonts w:ascii="Segoe UI" w:hAnsi="Segoe UI" w:cs="Segoe UI"/>
          <w:color w:val="000000" w:themeColor="text1"/>
          <w:sz w:val="26"/>
          <w:szCs w:val="26"/>
          <w:rtl/>
          <w:lang w:bidi="ar-JO"/>
        </w:rPr>
      </w:pPr>
      <w:r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أ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شار التقرير إلى أن عدد اشتراكات الجيل الخامس المتنقل قد </w:t>
      </w:r>
      <w:r w:rsidR="000E7550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استمرت بالارتفاع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 بشكل ملحوظ في الربع </w:t>
      </w:r>
      <w:r w:rsidR="00B9377F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الثاني للعام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F46C8D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2024 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حيث بلغت حوالي </w:t>
      </w:r>
      <w:r w:rsidR="00F82275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(51,491</w:t>
      </w:r>
      <w:proofErr w:type="gramStart"/>
      <w:r w:rsidR="00B9377F">
        <w:rPr>
          <w:rFonts w:ascii="Segoe UI" w:hAnsi="Segoe UI" w:cs="Segoe UI"/>
          <w:color w:val="000000" w:themeColor="text1"/>
          <w:sz w:val="26"/>
          <w:szCs w:val="26"/>
          <w:lang w:bidi="ar-JO"/>
        </w:rPr>
        <w:t>(</w:t>
      </w:r>
      <w:r w:rsidR="00507CB3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اشتراك</w:t>
      </w:r>
      <w:proofErr w:type="gramEnd"/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 مقارنة مع الربع </w:t>
      </w:r>
      <w:r w:rsidR="00C84E12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الأول 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من </w:t>
      </w:r>
      <w:r w:rsidR="00C84E12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ذات العام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 والذي بلغ حوالي (</w:t>
      </w:r>
      <w:r w:rsidR="00C84E12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31,334</w:t>
      </w:r>
      <w:r w:rsidR="00477521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) اشتراك</w:t>
      </w:r>
      <w:r w:rsidR="00581849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 بنسبة نمو بلغت حوالي</w:t>
      </w:r>
      <w:r w:rsidR="00581849" w:rsidRPr="00581849">
        <w:rPr>
          <w:rFonts w:ascii="Segoe UI" w:hAnsi="Segoe UI" w:cs="Segoe UI"/>
          <w:color w:val="000000" w:themeColor="text1"/>
          <w:sz w:val="26"/>
          <w:szCs w:val="26"/>
          <w:rtl/>
          <w:lang w:bidi="ar-JO"/>
        </w:rPr>
        <w:t xml:space="preserve"> </w:t>
      </w:r>
      <w:r w:rsidR="00CC0148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(64</w:t>
      </w:r>
      <w:r w:rsidR="00CC0148" w:rsidRPr="00581849">
        <w:rPr>
          <w:rFonts w:ascii="Segoe UI" w:hAnsi="Segoe UI" w:cs="Segoe UI"/>
          <w:color w:val="000000" w:themeColor="text1"/>
          <w:sz w:val="26"/>
          <w:szCs w:val="26"/>
          <w:rtl/>
          <w:lang w:bidi="ar-JO"/>
        </w:rPr>
        <w:t>%</w:t>
      </w:r>
      <w:r w:rsidR="00CC0148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).</w:t>
      </w:r>
    </w:p>
    <w:p w:rsidR="00507CB3" w:rsidRDefault="00507CB3" w:rsidP="00F47F52">
      <w:pPr>
        <w:jc w:val="both"/>
        <w:rPr>
          <w:rFonts w:ascii="Segoe UI" w:hAnsi="Segoe UI" w:cs="Segoe UI"/>
          <w:color w:val="000000" w:themeColor="text1"/>
          <w:sz w:val="26"/>
          <w:szCs w:val="26"/>
          <w:rtl/>
          <w:lang w:bidi="ar-JO"/>
        </w:rPr>
      </w:pPr>
      <w:r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كما بلغ حجم استخدام البيانات من خلال خدمات الاتصالات المتنقلة عريضة النطاق حوالي (627) مليون جيجا بايت في الربع الثاني مقارنة مع حوالي (610) مليون جيجا بايت </w:t>
      </w:r>
      <w:r w:rsidR="00BF2FB6"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 xml:space="preserve">في الربع الأول </w:t>
      </w:r>
      <w:r>
        <w:rPr>
          <w:rFonts w:ascii="Segoe UI" w:hAnsi="Segoe UI" w:cs="Segoe UI" w:hint="cs"/>
          <w:color w:val="000000" w:themeColor="text1"/>
          <w:sz w:val="26"/>
          <w:szCs w:val="26"/>
          <w:rtl/>
          <w:lang w:bidi="ar-JO"/>
        </w:rPr>
        <w:t>من ذات العام.</w:t>
      </w:r>
    </w:p>
    <w:p w:rsidR="005E4756" w:rsidRPr="002B2EC6" w:rsidRDefault="005E4756" w:rsidP="00F47F52">
      <w:pPr>
        <w:jc w:val="both"/>
        <w:rPr>
          <w:rFonts w:ascii="Segoe UI" w:hAnsi="Segoe UI" w:cs="Segoe UI"/>
          <w:color w:val="000000" w:themeColor="text1"/>
          <w:sz w:val="26"/>
          <w:szCs w:val="26"/>
          <w:lang w:bidi="ar-JO"/>
        </w:rPr>
      </w:pPr>
    </w:p>
    <w:p w:rsidR="004C175B" w:rsidRPr="002E6364" w:rsidRDefault="004C175B" w:rsidP="00F47F52">
      <w:pPr>
        <w:jc w:val="both"/>
        <w:rPr>
          <w:rFonts w:ascii="Segoe UI" w:hAnsi="Segoe UI" w:cs="Segoe UI"/>
          <w:sz w:val="16"/>
          <w:szCs w:val="16"/>
          <w:rtl/>
          <w:lang w:bidi="ar-JO"/>
        </w:rPr>
      </w:pPr>
    </w:p>
    <w:p w:rsidR="006A3F3E" w:rsidRPr="00876235" w:rsidRDefault="006A3F3E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</w:pP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خدمات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الاتصالات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الصوتية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الثابتة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>:</w:t>
      </w:r>
    </w:p>
    <w:p w:rsidR="00497A35" w:rsidRPr="006A3F3E" w:rsidRDefault="00497A35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lang w:bidi="ar-JO"/>
        </w:rPr>
      </w:pPr>
    </w:p>
    <w:p w:rsidR="005F4B52" w:rsidRPr="002E6364" w:rsidRDefault="003E0D6F" w:rsidP="00F47F52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ووفقاً للتقرير المنشور، فقد بلغ مجموع 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أ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عداد المشتركين</w:t>
      </w:r>
      <w:r w:rsidR="0041669E" w:rsidRPr="002E6364">
        <w:rPr>
          <w:rFonts w:ascii="Segoe UI" w:hAnsi="Segoe UI" w:cs="Segoe UI"/>
          <w:sz w:val="26"/>
          <w:szCs w:val="26"/>
          <w:lang w:bidi="ar-JO"/>
        </w:rPr>
        <w:t xml:space="preserve"> 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في خدمات </w:t>
      </w:r>
      <w:r w:rsidR="007533DC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الاتصالات الصوتية </w:t>
      </w:r>
      <w:r w:rsidR="009745FC" w:rsidRPr="002E6364">
        <w:rPr>
          <w:rFonts w:ascii="Segoe UI" w:hAnsi="Segoe UI" w:cs="Segoe UI" w:hint="cs"/>
          <w:sz w:val="26"/>
          <w:szCs w:val="26"/>
          <w:rtl/>
          <w:lang w:bidi="ar-JO"/>
        </w:rPr>
        <w:t>الثابتة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CD384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حوالي </w:t>
      </w:r>
      <w:r w:rsidR="00217C61">
        <w:rPr>
          <w:rFonts w:ascii="Segoe UI" w:hAnsi="Segoe UI" w:cs="Segoe UI" w:hint="cs"/>
          <w:sz w:val="26"/>
          <w:szCs w:val="26"/>
          <w:rtl/>
          <w:lang w:bidi="ar-JO"/>
        </w:rPr>
        <w:t>(491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>)</w:t>
      </w:r>
      <w:r w:rsidR="00ED4C70">
        <w:rPr>
          <w:rFonts w:ascii="Segoe UI" w:hAnsi="Segoe UI" w:cs="Segoe UI" w:hint="cs"/>
          <w:sz w:val="26"/>
          <w:szCs w:val="26"/>
          <w:rtl/>
          <w:lang w:bidi="ar-JO"/>
        </w:rPr>
        <w:t xml:space="preserve"> ألف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974F3C">
        <w:rPr>
          <w:rFonts w:ascii="Segoe UI" w:hAnsi="Segoe UI" w:cs="Segoe UI" w:hint="cs"/>
          <w:sz w:val="26"/>
          <w:szCs w:val="26"/>
          <w:rtl/>
          <w:lang w:bidi="ar-JO"/>
        </w:rPr>
        <w:t>اشتراك</w:t>
      </w:r>
      <w:r w:rsidR="00974F3C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BB015F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للربع 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>الثاني</w:t>
      </w:r>
      <w:r w:rsidR="000C5F17" w:rsidRPr="002E6364">
        <w:rPr>
          <w:rFonts w:ascii="Segoe UI" w:hAnsi="Segoe UI" w:cs="Segoe UI" w:hint="cs"/>
          <w:sz w:val="26"/>
          <w:szCs w:val="26"/>
          <w:rtl/>
          <w:lang w:bidi="ar-JO"/>
        </w:rPr>
        <w:t>،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41669E" w:rsidRPr="002E6364">
        <w:rPr>
          <w:rFonts w:ascii="Segoe UI" w:hAnsi="Segoe UI" w:cs="Segoe UI" w:hint="cs"/>
          <w:sz w:val="26"/>
          <w:szCs w:val="26"/>
          <w:rtl/>
          <w:lang w:bidi="ar-JO"/>
        </w:rPr>
        <w:t>و</w:t>
      </w:r>
      <w:r w:rsidR="00BE0304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حصد القطاع المنزلي على ما نسبته </w:t>
      </w:r>
      <w:r w:rsidR="00875413" w:rsidRPr="002E6364"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98452C">
        <w:rPr>
          <w:rFonts w:ascii="Segoe UI" w:hAnsi="Segoe UI" w:cs="Segoe UI" w:hint="cs"/>
          <w:sz w:val="26"/>
          <w:szCs w:val="26"/>
          <w:rtl/>
          <w:lang w:bidi="ar-JO"/>
        </w:rPr>
        <w:t>67</w:t>
      </w:r>
      <w:r w:rsidR="00BE0304" w:rsidRPr="002E6364">
        <w:rPr>
          <w:rFonts w:ascii="Segoe UI" w:hAnsi="Segoe UI" w:cs="Segoe UI" w:hint="cs"/>
          <w:sz w:val="26"/>
          <w:szCs w:val="26"/>
          <w:rtl/>
          <w:lang w:bidi="ar-JO"/>
        </w:rPr>
        <w:t>%</w:t>
      </w: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) </w:t>
      </w:r>
      <w:r w:rsidR="00BE0304" w:rsidRPr="002E6364">
        <w:rPr>
          <w:rFonts w:ascii="Segoe UI" w:hAnsi="Segoe UI" w:cs="Segoe UI" w:hint="cs"/>
          <w:sz w:val="26"/>
          <w:szCs w:val="26"/>
          <w:rtl/>
          <w:lang w:bidi="ar-JO"/>
        </w:rPr>
        <w:t>من المجموع الكلي وما نسبته (</w:t>
      </w:r>
      <w:r w:rsidR="00762909">
        <w:rPr>
          <w:rFonts w:ascii="Segoe UI" w:hAnsi="Segoe UI" w:cs="Segoe UI" w:hint="cs"/>
          <w:sz w:val="26"/>
          <w:szCs w:val="26"/>
          <w:rtl/>
          <w:lang w:bidi="ar-JO"/>
        </w:rPr>
        <w:t>33</w:t>
      </w:r>
      <w:r w:rsidR="00BE0304" w:rsidRPr="002E6364">
        <w:rPr>
          <w:rFonts w:ascii="Segoe UI" w:hAnsi="Segoe UI" w:cs="Segoe UI" w:hint="cs"/>
          <w:sz w:val="26"/>
          <w:szCs w:val="26"/>
          <w:rtl/>
          <w:lang w:bidi="ar-JO"/>
        </w:rPr>
        <w:t>%) للقطاع التجاري</w:t>
      </w:r>
      <w:r w:rsidR="006074C8" w:rsidRPr="002E6364">
        <w:rPr>
          <w:rFonts w:ascii="Segoe UI" w:hAnsi="Segoe UI" w:cs="Segoe UI" w:hint="cs"/>
          <w:sz w:val="26"/>
          <w:szCs w:val="26"/>
          <w:rtl/>
          <w:lang w:bidi="ar-JO"/>
        </w:rPr>
        <w:t>.</w:t>
      </w:r>
      <w:r w:rsidR="004035BE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</w:p>
    <w:p w:rsidR="009E7A6D" w:rsidRPr="002E6364" w:rsidRDefault="009E7A6D" w:rsidP="00F47F52">
      <w:pPr>
        <w:jc w:val="both"/>
        <w:rPr>
          <w:rFonts w:ascii="Segoe UI" w:hAnsi="Segoe UI" w:cs="Segoe UI"/>
          <w:sz w:val="16"/>
          <w:szCs w:val="16"/>
          <w:rtl/>
          <w:lang w:bidi="ar-JO"/>
        </w:rPr>
      </w:pPr>
    </w:p>
    <w:p w:rsidR="006A3F3E" w:rsidRDefault="008A7000" w:rsidP="00F47F52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وفيما يتعلق </w:t>
      </w:r>
      <w:r w:rsidR="00A954CC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بحجم 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الحركة الهاتفية </w:t>
      </w:r>
      <w:r w:rsidR="00A954CC" w:rsidRPr="002E6364">
        <w:rPr>
          <w:rFonts w:ascii="Segoe UI" w:hAnsi="Segoe UI" w:cs="Segoe UI" w:hint="cs"/>
          <w:sz w:val="26"/>
          <w:szCs w:val="26"/>
          <w:rtl/>
          <w:lang w:bidi="ar-JO"/>
        </w:rPr>
        <w:t>المستهلكة من قبل المشتركين عبر ال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هاتف الثابت، فقد أشار التقرير 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إ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لى تسجيل </w:t>
      </w:r>
      <w:r w:rsidR="000A5F96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حوالي 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>(11,5)</w:t>
      </w:r>
      <w:r w:rsidR="00CD384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مليو</w:t>
      </w:r>
      <w:r w:rsidR="00CD3842" w:rsidRPr="002E6364">
        <w:rPr>
          <w:rFonts w:ascii="Segoe UI" w:hAnsi="Segoe UI" w:cs="Segoe UI" w:hint="eastAsia"/>
          <w:sz w:val="26"/>
          <w:szCs w:val="26"/>
          <w:rtl/>
          <w:lang w:bidi="ar-JO"/>
        </w:rPr>
        <w:t>ن</w:t>
      </w:r>
      <w:r w:rsidR="000A5F96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دقيق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ة</w:t>
      </w:r>
      <w:r w:rsidR="000A5F96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اتصال خلال الربع </w:t>
      </w:r>
      <w:r w:rsidR="00684B89">
        <w:rPr>
          <w:rFonts w:ascii="Segoe UI" w:hAnsi="Segoe UI" w:cs="Segoe UI" w:hint="cs"/>
          <w:sz w:val="26"/>
          <w:szCs w:val="26"/>
          <w:rtl/>
          <w:lang w:bidi="ar-JO"/>
        </w:rPr>
        <w:t>الثاني،</w:t>
      </w:r>
      <w:r w:rsidR="000A5F96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>شاملة الحركة الهاتفية ال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أ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رضية المحلية بين المحافظات والحركة الهاتفية الدولية مع دول </w:t>
      </w:r>
      <w:r w:rsidR="00875413" w:rsidRPr="002E6364">
        <w:rPr>
          <w:rFonts w:ascii="Segoe UI" w:hAnsi="Segoe UI" w:cs="Segoe UI" w:hint="cs"/>
          <w:sz w:val="26"/>
          <w:szCs w:val="26"/>
          <w:rtl/>
          <w:lang w:bidi="ar-JO"/>
        </w:rPr>
        <w:t>العالم،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موزعة على الحركة الهاتفية المحلية </w:t>
      </w:r>
      <w:r w:rsidR="004035BE" w:rsidRPr="002E6364">
        <w:rPr>
          <w:rFonts w:ascii="Segoe UI" w:hAnsi="Segoe UI" w:cs="Segoe UI" w:hint="cs"/>
          <w:sz w:val="26"/>
          <w:szCs w:val="26"/>
          <w:rtl/>
          <w:lang w:bidi="ar-JO"/>
        </w:rPr>
        <w:t>بنسبة (</w:t>
      </w:r>
      <w:r w:rsidR="009C1924">
        <w:rPr>
          <w:rFonts w:ascii="Segoe UI" w:hAnsi="Segoe UI" w:cs="Segoe UI" w:hint="cs"/>
          <w:sz w:val="26"/>
          <w:szCs w:val="26"/>
          <w:rtl/>
          <w:lang w:bidi="ar-JO"/>
        </w:rPr>
        <w:t>85</w:t>
      </w:r>
      <w:r w:rsidR="004035BE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%)، وما نسبته 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>(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>15</w:t>
      </w:r>
      <w:r w:rsidR="004035BE" w:rsidRPr="002E6364">
        <w:rPr>
          <w:rFonts w:ascii="Segoe UI" w:hAnsi="Segoe UI" w:cs="Segoe UI" w:hint="cs"/>
          <w:sz w:val="26"/>
          <w:szCs w:val="26"/>
          <w:rtl/>
          <w:lang w:bidi="ar-JO"/>
        </w:rPr>
        <w:t>%)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D52A04">
        <w:rPr>
          <w:rFonts w:ascii="Segoe UI" w:hAnsi="Segoe UI" w:cs="Segoe UI" w:hint="cs"/>
          <w:sz w:val="26"/>
          <w:szCs w:val="26"/>
          <w:rtl/>
          <w:lang w:bidi="ar-JO"/>
        </w:rPr>
        <w:t xml:space="preserve">من </w:t>
      </w:r>
      <w:r w:rsidR="004035BE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دقائق </w:t>
      </w:r>
      <w:r w:rsidR="00971E4A">
        <w:rPr>
          <w:rFonts w:ascii="Segoe UI" w:hAnsi="Segoe UI" w:cs="Segoe UI" w:hint="cs"/>
          <w:sz w:val="26"/>
          <w:szCs w:val="26"/>
          <w:rtl/>
          <w:lang w:bidi="ar-JO"/>
        </w:rPr>
        <w:t>ال</w:t>
      </w:r>
      <w:r w:rsidR="004035BE" w:rsidRPr="002E6364">
        <w:rPr>
          <w:rFonts w:ascii="Segoe UI" w:hAnsi="Segoe UI" w:cs="Segoe UI" w:hint="cs"/>
          <w:sz w:val="26"/>
          <w:szCs w:val="26"/>
          <w:rtl/>
          <w:lang w:bidi="ar-JO"/>
        </w:rPr>
        <w:t>اتصال للحر</w:t>
      </w:r>
      <w:r w:rsidR="00F25602" w:rsidRPr="002E6364">
        <w:rPr>
          <w:rFonts w:ascii="Segoe UI" w:hAnsi="Segoe UI" w:cs="Segoe UI" w:hint="cs"/>
          <w:sz w:val="26"/>
          <w:szCs w:val="26"/>
          <w:rtl/>
          <w:lang w:bidi="ar-JO"/>
        </w:rPr>
        <w:t>كة الهاتفية الدولية.</w:t>
      </w:r>
    </w:p>
    <w:p w:rsidR="00497A35" w:rsidRDefault="00497A35" w:rsidP="00F47F52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</w:p>
    <w:p w:rsidR="002E6364" w:rsidRPr="002E6364" w:rsidRDefault="002E6364" w:rsidP="00F47F52">
      <w:pPr>
        <w:jc w:val="both"/>
        <w:rPr>
          <w:rFonts w:ascii="Segoe UI" w:hAnsi="Segoe UI" w:cs="Segoe UI"/>
          <w:sz w:val="16"/>
          <w:szCs w:val="16"/>
          <w:rtl/>
          <w:lang w:bidi="ar-JO"/>
        </w:rPr>
      </w:pPr>
    </w:p>
    <w:p w:rsidR="006A3F3E" w:rsidRPr="00876235" w:rsidRDefault="006A3F3E" w:rsidP="00F47F52">
      <w:pPr>
        <w:jc w:val="both"/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</w:pP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خدمات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الخطوط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Pr="00876235">
        <w:rPr>
          <w:rFonts w:ascii="Segoe UI" w:hAnsi="Segoe UI" w:cs="Segoe UI" w:hint="eastAsia"/>
          <w:b/>
          <w:bCs/>
          <w:color w:val="FF0000"/>
          <w:sz w:val="26"/>
          <w:szCs w:val="26"/>
          <w:rtl/>
          <w:lang w:bidi="ar-JO"/>
        </w:rPr>
        <w:t>المؤجرة</w:t>
      </w:r>
      <w:r w:rsidRPr="00876235">
        <w:rPr>
          <w:rFonts w:ascii="Segoe UI" w:hAnsi="Segoe UI" w:cs="Segoe UI"/>
          <w:b/>
          <w:bCs/>
          <w:color w:val="FF0000"/>
          <w:sz w:val="26"/>
          <w:szCs w:val="26"/>
          <w:rtl/>
          <w:lang w:bidi="ar-JO"/>
        </w:rPr>
        <w:t>:</w:t>
      </w:r>
    </w:p>
    <w:p w:rsidR="006533B3" w:rsidRPr="00B36F54" w:rsidRDefault="006533B3" w:rsidP="00F47F52">
      <w:pPr>
        <w:jc w:val="both"/>
        <w:rPr>
          <w:rFonts w:ascii="Segoe UI" w:hAnsi="Segoe UI" w:cs="Segoe UI"/>
          <w:b/>
          <w:bCs/>
          <w:sz w:val="26"/>
          <w:szCs w:val="26"/>
          <w:rtl/>
          <w:lang w:bidi="ar-JO"/>
        </w:rPr>
      </w:pPr>
    </w:p>
    <w:p w:rsidR="00B331F7" w:rsidRPr="00964CE7" w:rsidRDefault="00A42069" w:rsidP="00D16766">
      <w:pPr>
        <w:jc w:val="both"/>
        <w:rPr>
          <w:rFonts w:ascii="Segoe UI" w:hAnsi="Segoe UI" w:cs="Segoe UI"/>
          <w:sz w:val="26"/>
          <w:szCs w:val="26"/>
          <w:rtl/>
          <w:lang w:bidi="ar-JO"/>
        </w:rPr>
      </w:pPr>
      <w:r w:rsidRPr="002E6364">
        <w:rPr>
          <w:rFonts w:ascii="Segoe UI" w:hAnsi="Segoe UI" w:cs="Segoe UI" w:hint="cs"/>
          <w:sz w:val="26"/>
          <w:szCs w:val="26"/>
          <w:rtl/>
          <w:lang w:bidi="ar-JO"/>
        </w:rPr>
        <w:t>هذا و</w:t>
      </w:r>
      <w:r w:rsidR="00B331F7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بين التقرير </w:t>
      </w:r>
      <w:r w:rsidR="008B4B65">
        <w:rPr>
          <w:rFonts w:ascii="Segoe UI" w:hAnsi="Segoe UI" w:cs="Segoe UI" w:hint="cs"/>
          <w:sz w:val="26"/>
          <w:szCs w:val="26"/>
          <w:rtl/>
          <w:lang w:bidi="ar-JO"/>
        </w:rPr>
        <w:t>أ</w:t>
      </w:r>
      <w:r w:rsidR="00B331F7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ن </w:t>
      </w:r>
      <w:r w:rsidR="00911A09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عدد اشتراكات </w:t>
      </w:r>
      <w:r w:rsidR="00B331F7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خدمات الخطوط المؤجرة </w:t>
      </w:r>
      <w:r w:rsidR="00B72EC5" w:rsidRPr="002E6364">
        <w:rPr>
          <w:rFonts w:ascii="Segoe UI" w:hAnsi="Segoe UI" w:cs="Segoe UI" w:hint="cs"/>
          <w:sz w:val="26"/>
          <w:szCs w:val="26"/>
          <w:rtl/>
          <w:lang w:bidi="ar-JO"/>
        </w:rPr>
        <w:t>بلغت</w:t>
      </w:r>
      <w:r w:rsidR="00F629B0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>(23,011)</w:t>
      </w:r>
      <w:r w:rsidR="00B16917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D33A08" w:rsidRPr="002E6364">
        <w:rPr>
          <w:rFonts w:ascii="Segoe UI" w:hAnsi="Segoe UI" w:cs="Segoe UI" w:hint="cs"/>
          <w:sz w:val="26"/>
          <w:szCs w:val="26"/>
          <w:rtl/>
          <w:lang w:bidi="ar-JO"/>
        </w:rPr>
        <w:t>اشتراك في</w:t>
      </w:r>
      <w:r w:rsidR="00B331F7" w:rsidRPr="002E6364">
        <w:rPr>
          <w:rFonts w:ascii="Segoe UI" w:hAnsi="Segoe UI" w:cs="Segoe UI" w:hint="cs"/>
          <w:sz w:val="26"/>
          <w:szCs w:val="26"/>
          <w:rtl/>
          <w:lang w:bidi="ar-JO"/>
        </w:rPr>
        <w:t xml:space="preserve"> نهاية الربع 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 xml:space="preserve">الثاني </w:t>
      </w:r>
      <w:r w:rsidR="001C4B98">
        <w:rPr>
          <w:rFonts w:ascii="Segoe UI" w:hAnsi="Segoe UI" w:cs="Segoe UI" w:hint="cs"/>
          <w:sz w:val="26"/>
          <w:szCs w:val="26"/>
          <w:rtl/>
          <w:lang w:bidi="ar-JO"/>
        </w:rPr>
        <w:t xml:space="preserve">من العام </w:t>
      </w:r>
      <w:r w:rsidR="00595A60">
        <w:rPr>
          <w:rFonts w:ascii="Segoe UI" w:hAnsi="Segoe UI" w:cs="Segoe UI" w:hint="cs"/>
          <w:sz w:val="26"/>
          <w:szCs w:val="26"/>
          <w:rtl/>
          <w:lang w:bidi="ar-JO"/>
        </w:rPr>
        <w:t xml:space="preserve">2024 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>مقارنة مع (</w:t>
      </w:r>
      <w:r w:rsidR="00003BB0">
        <w:rPr>
          <w:rFonts w:ascii="Segoe UI" w:hAnsi="Segoe UI" w:cs="Segoe UI" w:hint="cs"/>
          <w:sz w:val="26"/>
          <w:szCs w:val="26"/>
          <w:rtl/>
          <w:lang w:bidi="ar-JO"/>
        </w:rPr>
        <w:t>20</w:t>
      </w:r>
      <w:r w:rsidR="00B0306F">
        <w:rPr>
          <w:rFonts w:ascii="Segoe UI" w:hAnsi="Segoe UI" w:cs="Segoe UI" w:hint="cs"/>
          <w:sz w:val="26"/>
          <w:szCs w:val="26"/>
          <w:rtl/>
          <w:lang w:bidi="ar-JO"/>
        </w:rPr>
        <w:t>,993</w:t>
      </w:r>
      <w:r w:rsidR="00F67843">
        <w:rPr>
          <w:rFonts w:ascii="Segoe UI" w:hAnsi="Segoe UI" w:cs="Segoe UI" w:hint="cs"/>
          <w:sz w:val="26"/>
          <w:szCs w:val="26"/>
          <w:rtl/>
          <w:lang w:bidi="ar-JO"/>
        </w:rPr>
        <w:t>)</w:t>
      </w:r>
      <w:r w:rsidR="007775F7">
        <w:rPr>
          <w:rFonts w:ascii="Segoe UI" w:hAnsi="Segoe UI" w:cs="Segoe UI" w:hint="cs"/>
          <w:sz w:val="26"/>
          <w:szCs w:val="26"/>
          <w:rtl/>
          <w:lang w:bidi="ar-JO"/>
        </w:rPr>
        <w:t xml:space="preserve"> </w:t>
      </w:r>
      <w:r w:rsidR="006B0FD3">
        <w:rPr>
          <w:rFonts w:ascii="Segoe UI" w:hAnsi="Segoe UI" w:cs="Segoe UI" w:hint="cs"/>
          <w:sz w:val="26"/>
          <w:szCs w:val="26"/>
          <w:rtl/>
          <w:lang w:bidi="ar-JO"/>
        </w:rPr>
        <w:t xml:space="preserve">اشتراك </w:t>
      </w:r>
      <w:r w:rsidR="00B0306F" w:rsidRPr="00964CE7">
        <w:rPr>
          <w:rFonts w:ascii="Segoe UI" w:hAnsi="Segoe UI" w:cs="Segoe UI" w:hint="eastAsia"/>
          <w:sz w:val="26"/>
          <w:szCs w:val="26"/>
          <w:rtl/>
          <w:lang w:bidi="ar-JO"/>
        </w:rPr>
        <w:t>في</w:t>
      </w:r>
      <w:r w:rsidR="00B0306F" w:rsidRPr="00964CE7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B0306F" w:rsidRPr="00964CE7">
        <w:rPr>
          <w:rFonts w:ascii="Segoe UI" w:hAnsi="Segoe UI" w:cs="Segoe UI" w:hint="eastAsia"/>
          <w:sz w:val="26"/>
          <w:szCs w:val="26"/>
          <w:rtl/>
          <w:lang w:bidi="ar-JO"/>
        </w:rPr>
        <w:t>الربع</w:t>
      </w:r>
      <w:r w:rsidR="00B0306F" w:rsidRPr="00964CE7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B0306F" w:rsidRPr="00964CE7">
        <w:rPr>
          <w:rFonts w:ascii="Segoe UI" w:hAnsi="Segoe UI" w:cs="Segoe UI" w:hint="eastAsia"/>
          <w:sz w:val="26"/>
          <w:szCs w:val="26"/>
          <w:rtl/>
          <w:lang w:bidi="ar-JO"/>
        </w:rPr>
        <w:t>الأول</w:t>
      </w:r>
      <w:r w:rsidR="00B0306F" w:rsidRPr="00964CE7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B0306F" w:rsidRPr="00964CE7">
        <w:rPr>
          <w:rFonts w:ascii="Segoe UI" w:hAnsi="Segoe UI" w:cs="Segoe UI" w:hint="eastAsia"/>
          <w:sz w:val="26"/>
          <w:szCs w:val="26"/>
          <w:rtl/>
          <w:lang w:bidi="ar-JO"/>
        </w:rPr>
        <w:t>من</w:t>
      </w:r>
      <w:r w:rsidR="00B0306F" w:rsidRPr="00964CE7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B0306F" w:rsidRPr="00964CE7">
        <w:rPr>
          <w:rFonts w:ascii="Segoe UI" w:hAnsi="Segoe UI" w:cs="Segoe UI" w:hint="eastAsia"/>
          <w:sz w:val="26"/>
          <w:szCs w:val="26"/>
          <w:rtl/>
          <w:lang w:bidi="ar-JO"/>
        </w:rPr>
        <w:t>ذات</w:t>
      </w:r>
      <w:r w:rsidR="00B0306F" w:rsidRPr="00964CE7">
        <w:rPr>
          <w:rFonts w:ascii="Segoe UI" w:hAnsi="Segoe UI" w:cs="Segoe UI"/>
          <w:sz w:val="26"/>
          <w:szCs w:val="26"/>
          <w:rtl/>
          <w:lang w:bidi="ar-JO"/>
        </w:rPr>
        <w:t xml:space="preserve"> </w:t>
      </w:r>
      <w:r w:rsidR="00B0306F" w:rsidRPr="00964CE7">
        <w:rPr>
          <w:rFonts w:ascii="Segoe UI" w:hAnsi="Segoe UI" w:cs="Segoe UI" w:hint="eastAsia"/>
          <w:sz w:val="26"/>
          <w:szCs w:val="26"/>
          <w:rtl/>
          <w:lang w:bidi="ar-JO"/>
        </w:rPr>
        <w:t>العام</w:t>
      </w:r>
      <w:r w:rsidR="00B0306F" w:rsidRPr="00964CE7">
        <w:rPr>
          <w:rFonts w:ascii="Segoe UI" w:hAnsi="Segoe UI" w:cs="Segoe UI"/>
          <w:sz w:val="26"/>
          <w:szCs w:val="26"/>
          <w:rtl/>
          <w:lang w:bidi="ar-JO"/>
        </w:rPr>
        <w:t>.</w:t>
      </w:r>
    </w:p>
    <w:p w:rsidR="00EC0CDD" w:rsidRPr="00964CE7" w:rsidRDefault="00EC0CDD" w:rsidP="00F47F52">
      <w:pPr>
        <w:jc w:val="both"/>
        <w:rPr>
          <w:rFonts w:ascii="Segoe UI" w:hAnsi="Segoe UI" w:cs="Segoe UI"/>
          <w:sz w:val="26"/>
          <w:szCs w:val="26"/>
          <w:lang w:bidi="ar-JO"/>
        </w:rPr>
      </w:pPr>
    </w:p>
    <w:p w:rsidR="003E244D" w:rsidRPr="00B05331" w:rsidRDefault="00B05331" w:rsidP="00F47F52">
      <w:pPr>
        <w:jc w:val="center"/>
        <w:rPr>
          <w:b/>
          <w:bCs/>
          <w:color w:val="FF0000"/>
          <w:sz w:val="26"/>
          <w:szCs w:val="26"/>
          <w:lang w:bidi="ar-JO"/>
        </w:rPr>
      </w:pPr>
      <w:r>
        <w:rPr>
          <w:rFonts w:ascii="Segoe UI" w:hAnsi="Segoe UI" w:cs="Segoe UI" w:hint="cs"/>
          <w:b/>
          <w:bCs/>
          <w:color w:val="FF0000"/>
          <w:sz w:val="26"/>
          <w:szCs w:val="26"/>
          <w:rtl/>
          <w:lang w:bidi="ar-JO"/>
        </w:rPr>
        <w:t>-</w:t>
      </w:r>
      <w:r w:rsidR="00062AE6" w:rsidRPr="00B05331">
        <w:rPr>
          <w:rFonts w:ascii="Segoe UI" w:hAnsi="Segoe UI" w:cs="Segoe UI" w:hint="cs"/>
          <w:b/>
          <w:bCs/>
          <w:color w:val="FF0000"/>
          <w:sz w:val="26"/>
          <w:szCs w:val="26"/>
          <w:rtl/>
          <w:lang w:bidi="ar-JO"/>
        </w:rPr>
        <w:t>انتهــــــى</w:t>
      </w:r>
      <w:bookmarkEnd w:id="0"/>
      <w:r>
        <w:rPr>
          <w:rFonts w:ascii="Segoe UI" w:hAnsi="Segoe UI" w:cs="Segoe UI" w:hint="cs"/>
          <w:b/>
          <w:bCs/>
          <w:color w:val="FF0000"/>
          <w:sz w:val="26"/>
          <w:szCs w:val="26"/>
          <w:rtl/>
          <w:lang w:bidi="ar-JO"/>
        </w:rPr>
        <w:t>-</w:t>
      </w:r>
    </w:p>
    <w:sectPr w:rsidR="003E244D" w:rsidRPr="00B05331" w:rsidSect="00B16917">
      <w:pgSz w:w="11906" w:h="16838" w:code="9"/>
      <w:pgMar w:top="426" w:right="1440" w:bottom="42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5457"/>
    <w:multiLevelType w:val="hybridMultilevel"/>
    <w:tmpl w:val="2682C81A"/>
    <w:lvl w:ilvl="0" w:tplc="C090F26A">
      <w:start w:val="1"/>
      <w:numFmt w:val="decimal"/>
      <w:pStyle w:val="NumberedNormal"/>
      <w:lvlText w:val="(%1)"/>
      <w:lvlJc w:val="left"/>
      <w:pPr>
        <w:snapToGrid w:val="0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lang w:val="en-GB"/>
        <w:specVanish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F"/>
    <w:rsid w:val="00003BB0"/>
    <w:rsid w:val="00006872"/>
    <w:rsid w:val="000160A5"/>
    <w:rsid w:val="000217ED"/>
    <w:rsid w:val="00024C95"/>
    <w:rsid w:val="00037EF0"/>
    <w:rsid w:val="00040719"/>
    <w:rsid w:val="00040CA9"/>
    <w:rsid w:val="000425DD"/>
    <w:rsid w:val="0005181B"/>
    <w:rsid w:val="00062AE6"/>
    <w:rsid w:val="00080480"/>
    <w:rsid w:val="00087442"/>
    <w:rsid w:val="00092424"/>
    <w:rsid w:val="000A45F2"/>
    <w:rsid w:val="000A5F96"/>
    <w:rsid w:val="000C5F17"/>
    <w:rsid w:val="000C63F6"/>
    <w:rsid w:val="000D5B1B"/>
    <w:rsid w:val="000E5BA9"/>
    <w:rsid w:val="000E7550"/>
    <w:rsid w:val="000F2F99"/>
    <w:rsid w:val="000F31A7"/>
    <w:rsid w:val="000F514C"/>
    <w:rsid w:val="000F632D"/>
    <w:rsid w:val="001046BE"/>
    <w:rsid w:val="00133333"/>
    <w:rsid w:val="00144DA8"/>
    <w:rsid w:val="00155E38"/>
    <w:rsid w:val="00157832"/>
    <w:rsid w:val="001600B0"/>
    <w:rsid w:val="00165EAA"/>
    <w:rsid w:val="001714B2"/>
    <w:rsid w:val="00174FFD"/>
    <w:rsid w:val="001763EF"/>
    <w:rsid w:val="00186C79"/>
    <w:rsid w:val="001A33A2"/>
    <w:rsid w:val="001A5163"/>
    <w:rsid w:val="001B0EDB"/>
    <w:rsid w:val="001B37D2"/>
    <w:rsid w:val="001C01C6"/>
    <w:rsid w:val="001C4B98"/>
    <w:rsid w:val="001D0CA9"/>
    <w:rsid w:val="001D106C"/>
    <w:rsid w:val="001E3538"/>
    <w:rsid w:val="001E68C6"/>
    <w:rsid w:val="001E6E10"/>
    <w:rsid w:val="00205B9F"/>
    <w:rsid w:val="00214BF1"/>
    <w:rsid w:val="00217C61"/>
    <w:rsid w:val="00221649"/>
    <w:rsid w:val="00222ACB"/>
    <w:rsid w:val="0023338F"/>
    <w:rsid w:val="00240DBB"/>
    <w:rsid w:val="00242B59"/>
    <w:rsid w:val="00250068"/>
    <w:rsid w:val="0026329D"/>
    <w:rsid w:val="002745D8"/>
    <w:rsid w:val="00282D5B"/>
    <w:rsid w:val="002A553D"/>
    <w:rsid w:val="002B2EC6"/>
    <w:rsid w:val="002B441B"/>
    <w:rsid w:val="002C033A"/>
    <w:rsid w:val="002C0903"/>
    <w:rsid w:val="002D16B0"/>
    <w:rsid w:val="002E3467"/>
    <w:rsid w:val="002E6364"/>
    <w:rsid w:val="002F7B94"/>
    <w:rsid w:val="00320D1C"/>
    <w:rsid w:val="00331A38"/>
    <w:rsid w:val="00331FF7"/>
    <w:rsid w:val="00337DDC"/>
    <w:rsid w:val="00337E9B"/>
    <w:rsid w:val="00354F29"/>
    <w:rsid w:val="00361DA4"/>
    <w:rsid w:val="00363471"/>
    <w:rsid w:val="0036578F"/>
    <w:rsid w:val="00371983"/>
    <w:rsid w:val="0037330D"/>
    <w:rsid w:val="00384CD0"/>
    <w:rsid w:val="00396E9D"/>
    <w:rsid w:val="003A168C"/>
    <w:rsid w:val="003A6E19"/>
    <w:rsid w:val="003C4B56"/>
    <w:rsid w:val="003E0D6F"/>
    <w:rsid w:val="003E1FB6"/>
    <w:rsid w:val="003E244D"/>
    <w:rsid w:val="003F2312"/>
    <w:rsid w:val="004035BE"/>
    <w:rsid w:val="00407D45"/>
    <w:rsid w:val="00411F02"/>
    <w:rsid w:val="0041669E"/>
    <w:rsid w:val="00417215"/>
    <w:rsid w:val="00433845"/>
    <w:rsid w:val="00440674"/>
    <w:rsid w:val="00440B1D"/>
    <w:rsid w:val="00443056"/>
    <w:rsid w:val="004439A9"/>
    <w:rsid w:val="00445527"/>
    <w:rsid w:val="00450756"/>
    <w:rsid w:val="00462C16"/>
    <w:rsid w:val="0046341A"/>
    <w:rsid w:val="0046758F"/>
    <w:rsid w:val="00471AF5"/>
    <w:rsid w:val="00475960"/>
    <w:rsid w:val="00477521"/>
    <w:rsid w:val="00477AF6"/>
    <w:rsid w:val="004845E4"/>
    <w:rsid w:val="00497A35"/>
    <w:rsid w:val="004C0DBE"/>
    <w:rsid w:val="004C175B"/>
    <w:rsid w:val="004D1B14"/>
    <w:rsid w:val="004D580A"/>
    <w:rsid w:val="004D75F0"/>
    <w:rsid w:val="004F4D5B"/>
    <w:rsid w:val="00507CB3"/>
    <w:rsid w:val="005157D4"/>
    <w:rsid w:val="00521D9F"/>
    <w:rsid w:val="0052780F"/>
    <w:rsid w:val="005326C2"/>
    <w:rsid w:val="00542E23"/>
    <w:rsid w:val="00564A81"/>
    <w:rsid w:val="0056712F"/>
    <w:rsid w:val="00570AA3"/>
    <w:rsid w:val="00570B9F"/>
    <w:rsid w:val="00572380"/>
    <w:rsid w:val="00581849"/>
    <w:rsid w:val="0058431C"/>
    <w:rsid w:val="0058506D"/>
    <w:rsid w:val="00595A60"/>
    <w:rsid w:val="005C2C2E"/>
    <w:rsid w:val="005D3D04"/>
    <w:rsid w:val="005D4BCC"/>
    <w:rsid w:val="005E3F48"/>
    <w:rsid w:val="005E4756"/>
    <w:rsid w:val="005F4B52"/>
    <w:rsid w:val="00605DB5"/>
    <w:rsid w:val="006074C8"/>
    <w:rsid w:val="00607CB9"/>
    <w:rsid w:val="00624936"/>
    <w:rsid w:val="006312D6"/>
    <w:rsid w:val="00632FC2"/>
    <w:rsid w:val="00646E37"/>
    <w:rsid w:val="006533B3"/>
    <w:rsid w:val="00656E55"/>
    <w:rsid w:val="006626B0"/>
    <w:rsid w:val="00684B89"/>
    <w:rsid w:val="006A2FC2"/>
    <w:rsid w:val="006A3F3E"/>
    <w:rsid w:val="006A59DC"/>
    <w:rsid w:val="006B0FD3"/>
    <w:rsid w:val="006C72E9"/>
    <w:rsid w:val="006D022A"/>
    <w:rsid w:val="006F3C62"/>
    <w:rsid w:val="0070620E"/>
    <w:rsid w:val="007202D9"/>
    <w:rsid w:val="0073489E"/>
    <w:rsid w:val="00736AAB"/>
    <w:rsid w:val="007533DC"/>
    <w:rsid w:val="007574DF"/>
    <w:rsid w:val="00762909"/>
    <w:rsid w:val="00770902"/>
    <w:rsid w:val="00770AE8"/>
    <w:rsid w:val="007775F7"/>
    <w:rsid w:val="0078260C"/>
    <w:rsid w:val="007867D8"/>
    <w:rsid w:val="00786A31"/>
    <w:rsid w:val="007A4009"/>
    <w:rsid w:val="007A7CFB"/>
    <w:rsid w:val="007B2BFE"/>
    <w:rsid w:val="007B6C74"/>
    <w:rsid w:val="007D04DE"/>
    <w:rsid w:val="007D2E0D"/>
    <w:rsid w:val="007D7A16"/>
    <w:rsid w:val="007E2660"/>
    <w:rsid w:val="007F622F"/>
    <w:rsid w:val="00810C8C"/>
    <w:rsid w:val="00823233"/>
    <w:rsid w:val="00833CC7"/>
    <w:rsid w:val="008725C5"/>
    <w:rsid w:val="00873576"/>
    <w:rsid w:val="00875413"/>
    <w:rsid w:val="00876235"/>
    <w:rsid w:val="0088226E"/>
    <w:rsid w:val="0089501A"/>
    <w:rsid w:val="008A7000"/>
    <w:rsid w:val="008B4B65"/>
    <w:rsid w:val="008B7406"/>
    <w:rsid w:val="008C28EA"/>
    <w:rsid w:val="008C6882"/>
    <w:rsid w:val="008D54D4"/>
    <w:rsid w:val="008E2197"/>
    <w:rsid w:val="008E72E6"/>
    <w:rsid w:val="008F5607"/>
    <w:rsid w:val="008F6782"/>
    <w:rsid w:val="009046C2"/>
    <w:rsid w:val="00911A09"/>
    <w:rsid w:val="00916147"/>
    <w:rsid w:val="00917A3E"/>
    <w:rsid w:val="00927A9A"/>
    <w:rsid w:val="00927EAB"/>
    <w:rsid w:val="00934C8C"/>
    <w:rsid w:val="0094271D"/>
    <w:rsid w:val="00943F9A"/>
    <w:rsid w:val="009448C8"/>
    <w:rsid w:val="00947A1A"/>
    <w:rsid w:val="00954C81"/>
    <w:rsid w:val="00964CE7"/>
    <w:rsid w:val="00971E4A"/>
    <w:rsid w:val="009745FC"/>
    <w:rsid w:val="00974F3C"/>
    <w:rsid w:val="0097603C"/>
    <w:rsid w:val="0098452C"/>
    <w:rsid w:val="009A27E6"/>
    <w:rsid w:val="009A558E"/>
    <w:rsid w:val="009B6C9C"/>
    <w:rsid w:val="009B7C31"/>
    <w:rsid w:val="009C1924"/>
    <w:rsid w:val="009E57C6"/>
    <w:rsid w:val="009E7A6D"/>
    <w:rsid w:val="00A0053D"/>
    <w:rsid w:val="00A0512A"/>
    <w:rsid w:val="00A0618D"/>
    <w:rsid w:val="00A0690A"/>
    <w:rsid w:val="00A1330D"/>
    <w:rsid w:val="00A16916"/>
    <w:rsid w:val="00A27BBC"/>
    <w:rsid w:val="00A42069"/>
    <w:rsid w:val="00A47501"/>
    <w:rsid w:val="00A533B2"/>
    <w:rsid w:val="00A612A2"/>
    <w:rsid w:val="00A679C1"/>
    <w:rsid w:val="00A8658B"/>
    <w:rsid w:val="00A94E79"/>
    <w:rsid w:val="00A954CC"/>
    <w:rsid w:val="00AB1C74"/>
    <w:rsid w:val="00AB5350"/>
    <w:rsid w:val="00AE4085"/>
    <w:rsid w:val="00B01859"/>
    <w:rsid w:val="00B0289D"/>
    <w:rsid w:val="00B0306F"/>
    <w:rsid w:val="00B05331"/>
    <w:rsid w:val="00B11BD9"/>
    <w:rsid w:val="00B16917"/>
    <w:rsid w:val="00B23C48"/>
    <w:rsid w:val="00B331F7"/>
    <w:rsid w:val="00B36F54"/>
    <w:rsid w:val="00B707FE"/>
    <w:rsid w:val="00B72EC5"/>
    <w:rsid w:val="00B753D2"/>
    <w:rsid w:val="00B841DF"/>
    <w:rsid w:val="00B86602"/>
    <w:rsid w:val="00B9377F"/>
    <w:rsid w:val="00BB015F"/>
    <w:rsid w:val="00BB0B09"/>
    <w:rsid w:val="00BB774A"/>
    <w:rsid w:val="00BC1466"/>
    <w:rsid w:val="00BC6859"/>
    <w:rsid w:val="00BD1047"/>
    <w:rsid w:val="00BD117F"/>
    <w:rsid w:val="00BE0304"/>
    <w:rsid w:val="00BE4FA6"/>
    <w:rsid w:val="00BF21CD"/>
    <w:rsid w:val="00BF2FB6"/>
    <w:rsid w:val="00C04725"/>
    <w:rsid w:val="00C04CE1"/>
    <w:rsid w:val="00C07E09"/>
    <w:rsid w:val="00C11677"/>
    <w:rsid w:val="00C20888"/>
    <w:rsid w:val="00C37A11"/>
    <w:rsid w:val="00C51DA0"/>
    <w:rsid w:val="00C61968"/>
    <w:rsid w:val="00C84E12"/>
    <w:rsid w:val="00CA6D1A"/>
    <w:rsid w:val="00CB0284"/>
    <w:rsid w:val="00CC0148"/>
    <w:rsid w:val="00CC018B"/>
    <w:rsid w:val="00CC3BA9"/>
    <w:rsid w:val="00CC5337"/>
    <w:rsid w:val="00CC60F8"/>
    <w:rsid w:val="00CD3842"/>
    <w:rsid w:val="00CD7C9B"/>
    <w:rsid w:val="00CE4495"/>
    <w:rsid w:val="00D07547"/>
    <w:rsid w:val="00D139E2"/>
    <w:rsid w:val="00D16766"/>
    <w:rsid w:val="00D22245"/>
    <w:rsid w:val="00D228BF"/>
    <w:rsid w:val="00D25032"/>
    <w:rsid w:val="00D2735B"/>
    <w:rsid w:val="00D336FE"/>
    <w:rsid w:val="00D33A08"/>
    <w:rsid w:val="00D45150"/>
    <w:rsid w:val="00D52A04"/>
    <w:rsid w:val="00D62B59"/>
    <w:rsid w:val="00D65A49"/>
    <w:rsid w:val="00D74B58"/>
    <w:rsid w:val="00D75932"/>
    <w:rsid w:val="00D84968"/>
    <w:rsid w:val="00D85601"/>
    <w:rsid w:val="00D87D21"/>
    <w:rsid w:val="00D91A13"/>
    <w:rsid w:val="00D97F14"/>
    <w:rsid w:val="00DA66A2"/>
    <w:rsid w:val="00DD048B"/>
    <w:rsid w:val="00DE1942"/>
    <w:rsid w:val="00E00652"/>
    <w:rsid w:val="00E13EB0"/>
    <w:rsid w:val="00E162CC"/>
    <w:rsid w:val="00E17B0A"/>
    <w:rsid w:val="00E25FA6"/>
    <w:rsid w:val="00E40362"/>
    <w:rsid w:val="00E416A7"/>
    <w:rsid w:val="00E420ED"/>
    <w:rsid w:val="00E43ED3"/>
    <w:rsid w:val="00E44826"/>
    <w:rsid w:val="00E63F52"/>
    <w:rsid w:val="00E64796"/>
    <w:rsid w:val="00E76120"/>
    <w:rsid w:val="00E765B1"/>
    <w:rsid w:val="00EB648C"/>
    <w:rsid w:val="00EC099C"/>
    <w:rsid w:val="00EC0CDD"/>
    <w:rsid w:val="00EC3A78"/>
    <w:rsid w:val="00ED4C70"/>
    <w:rsid w:val="00ED5A56"/>
    <w:rsid w:val="00ED61D8"/>
    <w:rsid w:val="00EE16FE"/>
    <w:rsid w:val="00EE389C"/>
    <w:rsid w:val="00EE7487"/>
    <w:rsid w:val="00EF4BC0"/>
    <w:rsid w:val="00EF5856"/>
    <w:rsid w:val="00EF7EFC"/>
    <w:rsid w:val="00F028ED"/>
    <w:rsid w:val="00F25602"/>
    <w:rsid w:val="00F261F7"/>
    <w:rsid w:val="00F36EA1"/>
    <w:rsid w:val="00F46C8D"/>
    <w:rsid w:val="00F47F52"/>
    <w:rsid w:val="00F518D3"/>
    <w:rsid w:val="00F629B0"/>
    <w:rsid w:val="00F64888"/>
    <w:rsid w:val="00F67843"/>
    <w:rsid w:val="00F759DB"/>
    <w:rsid w:val="00F82275"/>
    <w:rsid w:val="00F91CA0"/>
    <w:rsid w:val="00F97FBB"/>
    <w:rsid w:val="00FA0905"/>
    <w:rsid w:val="00FA1497"/>
    <w:rsid w:val="00FB6FD0"/>
    <w:rsid w:val="00FC6C24"/>
    <w:rsid w:val="00FD1A20"/>
    <w:rsid w:val="00FD3870"/>
    <w:rsid w:val="00FD510B"/>
    <w:rsid w:val="00FD6DFA"/>
    <w:rsid w:val="00FF3FBA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CE28D-389B-4297-9B6B-30A48EE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C8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0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0C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0C8C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cs="Simplified Arabic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0C8C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0C8C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0C8C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0C8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PolicyText">
    <w:name w:val="PolicyText"/>
    <w:basedOn w:val="Normal"/>
    <w:link w:val="PolicyTextChar"/>
    <w:qFormat/>
    <w:rsid w:val="00810C8C"/>
    <w:pPr>
      <w:bidi w:val="0"/>
      <w:jc w:val="center"/>
    </w:pPr>
    <w:rPr>
      <w:rFonts w:ascii="Cambria" w:eastAsia="Helvetica" w:hAnsi="Cambria"/>
      <w:b/>
      <w:sz w:val="28"/>
      <w:szCs w:val="28"/>
      <w:lang w:val="x-none" w:eastAsia="x-none"/>
    </w:rPr>
  </w:style>
  <w:style w:type="character" w:customStyle="1" w:styleId="PolicyTextChar">
    <w:name w:val="PolicyText Char"/>
    <w:link w:val="PolicyText"/>
    <w:rsid w:val="00810C8C"/>
    <w:rPr>
      <w:rFonts w:ascii="Cambria" w:eastAsia="Helvetica" w:hAnsi="Cambria"/>
      <w:b/>
      <w:sz w:val="28"/>
      <w:szCs w:val="28"/>
      <w:lang w:val="x-none" w:eastAsia="x-none"/>
    </w:rPr>
  </w:style>
  <w:style w:type="paragraph" w:customStyle="1" w:styleId="NumberedNormal">
    <w:name w:val="Numbered Normal"/>
    <w:basedOn w:val="Normal"/>
    <w:link w:val="NumberedNormalChar"/>
    <w:qFormat/>
    <w:rsid w:val="00810C8C"/>
    <w:pPr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</w:tabs>
      <w:bidi w:val="0"/>
      <w:spacing w:after="120"/>
      <w:jc w:val="both"/>
    </w:pPr>
    <w:rPr>
      <w:rFonts w:ascii="Arial" w:eastAsia="Arial Unicode MS" w:hAnsi="Arial"/>
      <w:sz w:val="20"/>
      <w:szCs w:val="20"/>
      <w:lang w:val="en-GB" w:eastAsia="x-none"/>
    </w:rPr>
  </w:style>
  <w:style w:type="character" w:customStyle="1" w:styleId="NumberedNormalChar">
    <w:name w:val="Numbered Normal Char"/>
    <w:link w:val="NumberedNormal"/>
    <w:locked/>
    <w:rsid w:val="00810C8C"/>
    <w:rPr>
      <w:rFonts w:ascii="Arial" w:eastAsia="Arial Unicode MS" w:hAnsi="Arial"/>
      <w:lang w:val="en-GB" w:eastAsia="x-none"/>
    </w:rPr>
  </w:style>
  <w:style w:type="character" w:customStyle="1" w:styleId="Heading1Char">
    <w:name w:val="Heading 1 Char"/>
    <w:link w:val="Heading1"/>
    <w:rsid w:val="00810C8C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10C8C"/>
    <w:rPr>
      <w:rFonts w:ascii="Cambria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rsid w:val="00810C8C"/>
    <w:rPr>
      <w:rFonts w:cs="Simplified Arabic"/>
      <w:b/>
      <w:bCs/>
    </w:rPr>
  </w:style>
  <w:style w:type="character" w:customStyle="1" w:styleId="Heading5Char">
    <w:name w:val="Heading 5 Char"/>
    <w:link w:val="Heading5"/>
    <w:semiHidden/>
    <w:rsid w:val="00810C8C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10C8C"/>
    <w:rPr>
      <w:rFonts w:ascii="Calibri" w:hAnsi="Calibri" w:cs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810C8C"/>
    <w:rPr>
      <w:rFonts w:cs="Simplified Arabic"/>
      <w:b/>
      <w:bCs/>
      <w:noProof/>
      <w:sz w:val="24"/>
      <w:szCs w:val="24"/>
    </w:rPr>
  </w:style>
  <w:style w:type="paragraph" w:styleId="Title">
    <w:name w:val="Title"/>
    <w:basedOn w:val="Normal"/>
    <w:link w:val="TitleChar"/>
    <w:qFormat/>
    <w:rsid w:val="00810C8C"/>
    <w:pPr>
      <w:jc w:val="center"/>
    </w:pPr>
    <w:rPr>
      <w:rFonts w:cs="Simplified Arabic"/>
      <w:b/>
      <w:bCs/>
      <w:sz w:val="20"/>
      <w:szCs w:val="32"/>
    </w:rPr>
  </w:style>
  <w:style w:type="character" w:customStyle="1" w:styleId="TitleChar">
    <w:name w:val="Title Char"/>
    <w:link w:val="Title"/>
    <w:rsid w:val="00810C8C"/>
    <w:rPr>
      <w:rFonts w:cs="Simplified Arabic"/>
      <w:b/>
      <w:bCs/>
      <w:szCs w:val="32"/>
    </w:rPr>
  </w:style>
  <w:style w:type="character" w:styleId="Emphasis">
    <w:name w:val="Emphasis"/>
    <w:qFormat/>
    <w:rsid w:val="00810C8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810C8C"/>
    <w:rPr>
      <w:rFonts w:ascii="Calibri" w:hAnsi="Calibri" w:cs="Arial"/>
      <w:sz w:val="22"/>
      <w:szCs w:val="22"/>
    </w:rPr>
  </w:style>
  <w:style w:type="character" w:styleId="IntenseReference">
    <w:name w:val="Intense Reference"/>
    <w:qFormat/>
    <w:rsid w:val="00810C8C"/>
    <w:rPr>
      <w:rFonts w:cs="Times New Roman"/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6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A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AB"/>
    <w:rPr>
      <w:b/>
      <w:bCs/>
    </w:rPr>
  </w:style>
  <w:style w:type="paragraph" w:styleId="Revision">
    <w:name w:val="Revision"/>
    <w:hidden/>
    <w:uiPriority w:val="99"/>
    <w:semiHidden/>
    <w:rsid w:val="00CA6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CF1C-4312-4387-8329-DE995044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Bashir Al-Zoubi</dc:creator>
  <cp:lastModifiedBy>Abeer Al-Mahrouq</cp:lastModifiedBy>
  <cp:revision>2</cp:revision>
  <cp:lastPrinted>2024-10-07T07:21:00Z</cp:lastPrinted>
  <dcterms:created xsi:type="dcterms:W3CDTF">2024-10-29T11:00:00Z</dcterms:created>
  <dcterms:modified xsi:type="dcterms:W3CDTF">2024-10-29T11:00:00Z</dcterms:modified>
</cp:coreProperties>
</file>